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Testiranje FURS Kvadrati API v1 s FURS v3.2</w:t>
      </w:r>
    </w:p>
    <w:p>
      <w:pPr>
        <w:pStyle w:val="Subtitle"/>
      </w:pPr>
      <w:r>
        <w:t>Navodila za administratorja, vodjo projekta in razvijalca</w:t>
      </w:r>
    </w:p>
    <w:p>
      <w:pPr>
        <w:pStyle w:val="Caption"/>
      </w:pPr>
      <w:r>
        <w:t>Izdaja 1  •  11. september 2026</w:t>
      </w:r>
    </w:p>
    <w:p/>
    <w:p>
      <w:r>
        <w:rPr>
          <w:b/>
        </w:rPr>
        <w:t xml:space="preserve">Namen dokumenta. </w:t>
      </w:r>
      <w:r>
        <w:t>Vodič opisuje celoten varen postopek od administratorske registracije podjetja in licence do TEST certifikata, poslovnega prostora, blagajne, računa, storna, paketov in prehoda v produkcijo. Primeri uporabljajo UTF-8, podatke brez skrivnosti in API v1.</w:t>
      </w:r>
    </w:p>
    <w:p>
      <w:r>
        <w:t>Najpomembnejše pravilo je preprosto: isti logični zahtevek ponovite z istim Idempotency-Key in nespremenjenim bodyjem; za nov zahtevek ustvarite nov ključ. Idempotency-Key ni access token in ni API ključ.</w:t>
      </w:r>
    </w:p>
    <w:p>
      <w:pPr>
        <w:pStyle w:val="Heading1"/>
      </w:pPr>
      <w:r>
        <w:t>Kazalo postopka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64"/>
        <w:gridCol w:w="1871"/>
        <w:gridCol w:w="5669"/>
      </w:tblGrid>
      <w:tr>
        <w:trPr>
          <w:cantSplit/>
          <w:tblHeader w:val="true"/>
        </w:trPr>
        <w:tc>
          <w:tcPr>
            <w:tcW w:type="dxa" w:w="964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Korak</w:t>
            </w:r>
          </w:p>
        </w:tc>
        <w:tc>
          <w:tcPr>
            <w:tcW w:type="dxa" w:w="1871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Odgovoren</w:t>
            </w:r>
          </w:p>
        </w:tc>
        <w:tc>
          <w:tcPr>
            <w:tcW w:type="dxa" w:w="5669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Rezultat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40"/>
            </w:pPr>
            <w:r>
              <w:rPr>
                <w:sz w:val="18"/>
              </w:rPr>
              <w:t>1</w:t>
            </w:r>
          </w:p>
        </w:tc>
        <w:tc>
          <w:tcPr>
            <w:tcW w:type="dxa" w:w="1871"/>
            <w:vAlign w:val="center"/>
          </w:tcPr>
          <w:p>
            <w:pPr>
              <w:spacing w:after="40"/>
            </w:pPr>
            <w:r>
              <w:rPr>
                <w:sz w:val="18"/>
              </w:rPr>
              <w:t>Administrator</w:t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</w:pPr>
            <w:r>
              <w:rPr>
                <w:sz w:val="18"/>
              </w:rPr>
              <w:t>Naročnik in aktivna licenca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2</w:t>
            </w:r>
          </w:p>
        </w:tc>
        <w:tc>
          <w:tcPr>
            <w:tcW w:type="dxa" w:w="187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Podjetje</w:t>
            </w:r>
          </w:p>
        </w:tc>
        <w:tc>
          <w:tcPr>
            <w:tcW w:type="dxa" w:w="5669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Naložen TEST certifikat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40"/>
            </w:pPr>
            <w:r>
              <w:rPr>
                <w:sz w:val="18"/>
              </w:rPr>
              <w:t>3</w:t>
            </w:r>
          </w:p>
        </w:tc>
        <w:tc>
          <w:tcPr>
            <w:tcW w:type="dxa" w:w="1871"/>
            <w:vAlign w:val="center"/>
          </w:tcPr>
          <w:p>
            <w:pPr>
              <w:spacing w:after="40"/>
            </w:pPr>
            <w:r>
              <w:rPr>
                <w:sz w:val="18"/>
              </w:rPr>
              <w:t>Razvijalec</w:t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</w:pPr>
            <w:r>
              <w:rPr>
                <w:sz w:val="18"/>
              </w:rPr>
              <w:t>Uspešen Echo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4</w:t>
            </w:r>
          </w:p>
        </w:tc>
        <w:tc>
          <w:tcPr>
            <w:tcW w:type="dxa" w:w="187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Podjetje</w:t>
            </w:r>
          </w:p>
        </w:tc>
        <w:tc>
          <w:tcPr>
            <w:tcW w:type="dxa" w:w="5669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Prijavljen poslovni prostor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40"/>
            </w:pPr>
            <w:r>
              <w:rPr>
                <w:sz w:val="18"/>
              </w:rPr>
              <w:t>5</w:t>
            </w:r>
          </w:p>
        </w:tc>
        <w:tc>
          <w:tcPr>
            <w:tcW w:type="dxa" w:w="1871"/>
            <w:vAlign w:val="center"/>
          </w:tcPr>
          <w:p>
            <w:pPr>
              <w:spacing w:after="40"/>
            </w:pPr>
            <w:r>
              <w:rPr>
                <w:sz w:val="18"/>
              </w:rPr>
              <w:t>Razvijalec</w:t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</w:pPr>
            <w:r>
              <w:rPr>
                <w:sz w:val="18"/>
              </w:rPr>
              <w:t>Aktivna elektronska naprava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6</w:t>
            </w:r>
          </w:p>
        </w:tc>
        <w:tc>
          <w:tcPr>
            <w:tcW w:type="dxa" w:w="187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Razvijalec</w:t>
            </w:r>
          </w:p>
        </w:tc>
        <w:tc>
          <w:tcPr>
            <w:tcW w:type="dxa" w:w="5669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Račun z EOR in ZOI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40"/>
            </w:pPr>
            <w:r>
              <w:rPr>
                <w:sz w:val="18"/>
              </w:rPr>
              <w:t>7</w:t>
            </w:r>
          </w:p>
        </w:tc>
        <w:tc>
          <w:tcPr>
            <w:tcW w:type="dxa" w:w="1871"/>
            <w:vAlign w:val="center"/>
          </w:tcPr>
          <w:p>
            <w:pPr>
              <w:spacing w:after="40"/>
            </w:pPr>
            <w:r>
              <w:rPr>
                <w:sz w:val="18"/>
              </w:rPr>
              <w:t>Ekipa</w:t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</w:pPr>
            <w:r>
              <w:rPr>
                <w:sz w:val="18"/>
              </w:rPr>
              <w:t>Preverjeni storno, paketi in napake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8</w:t>
            </w:r>
          </w:p>
        </w:tc>
        <w:tc>
          <w:tcPr>
            <w:tcW w:type="dxa" w:w="187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Odgovorna oseba</w:t>
            </w:r>
          </w:p>
        </w:tc>
        <w:tc>
          <w:tcPr>
            <w:tcW w:type="dxa" w:w="5669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Odobren prehod v produkcijo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1. Vloge in meje odgovornosti</w:t>
      </w:r>
    </w:p>
    <w:p>
      <w:r>
        <w:t>FURS Kvadrati je B2B storitev za davčno potrjevanje računov za katerokoli slovensko podjetje. Simple-Tasks je samo eden od Naročnikov in uporablja enake certifikatne ter fiskalizacijske poti kot vsi drugi Naročniki.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24"/>
        <w:gridCol w:w="6180"/>
      </w:tblGrid>
      <w:tr>
        <w:trPr>
          <w:cantSplit/>
          <w:tblHeader w:val="true"/>
        </w:trPr>
        <w:tc>
          <w:tcPr>
            <w:tcW w:type="dxa" w:w="2324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Vloga</w:t>
            </w:r>
          </w:p>
        </w:tc>
        <w:tc>
          <w:tcPr>
            <w:tcW w:type="dxa" w:w="6180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Kaj sme in mora narediti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40"/>
            </w:pPr>
            <w:r>
              <w:rPr>
                <w:sz w:val="18"/>
              </w:rPr>
              <w:t>Administrator storitve</w:t>
            </w:r>
          </w:p>
        </w:tc>
        <w:tc>
          <w:tcPr>
            <w:tcW w:type="dxa" w:w="6180"/>
            <w:vAlign w:val="center"/>
          </w:tcPr>
          <w:p>
            <w:pPr>
              <w:spacing w:after="40"/>
            </w:pPr>
            <w:r>
              <w:rPr>
                <w:sz w:val="18"/>
              </w:rPr>
              <w:t>Ustvari ali spremeni Naročnika, rotira API ključ, dodeli licenco in bere administratorske dnevnike.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Podjetje oziroma Naročnik</w:t>
            </w:r>
          </w:p>
        </w:tc>
        <w:tc>
          <w:tcPr>
            <w:tcW w:type="dxa" w:w="6180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Samo naloži in aktivira svoj TEST ali produkcijski certifikat ter sam vključi ali izključi prometno beleženje. Ne more izbrati tujega Naročnika.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40"/>
            </w:pPr>
            <w:r>
              <w:rPr>
                <w:sz w:val="18"/>
              </w:rPr>
              <w:t>Razvijalec odjemalca</w:t>
            </w:r>
          </w:p>
        </w:tc>
        <w:tc>
          <w:tcPr>
            <w:tcW w:type="dxa" w:w="6180"/>
            <w:vAlign w:val="center"/>
          </w:tcPr>
          <w:p>
            <w:pPr>
              <w:spacing w:after="40"/>
            </w:pPr>
            <w:r>
              <w:rPr>
                <w:sz w:val="18"/>
              </w:rPr>
              <w:t>Definira FURS prostore, lokalne naprave, izdaja račune ter pravilno obravnava izide in ponovitve.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Odgovorna oseba podjetja</w:t>
            </w:r>
          </w:p>
        </w:tc>
        <w:tc>
          <w:tcPr>
            <w:tcW w:type="dxa" w:w="6180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Odgovarja za pravilnost davčnih podatkov, številčenje, veljavnost certifikata in zakonske roke.</w:t>
            </w:r>
          </w:p>
        </w:tc>
      </w:tr>
    </w:tbl>
    <w:p>
      <w:pPr>
        <w:spacing w:after="40"/>
      </w:pPr>
    </w:p>
    <w:p>
      <w:pPr>
        <w:pStyle w:val="Heading2"/>
      </w:pPr>
      <w:r>
        <w:t>Okolja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74"/>
        <w:gridCol w:w="2268"/>
        <w:gridCol w:w="1814"/>
        <w:gridCol w:w="2948"/>
      </w:tblGrid>
      <w:tr>
        <w:trPr>
          <w:cantSplit/>
          <w:tblHeader w:val="true"/>
        </w:trPr>
        <w:tc>
          <w:tcPr>
            <w:tcW w:type="dxa" w:w="1474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Okolje</w:t>
            </w:r>
          </w:p>
        </w:tc>
        <w:tc>
          <w:tcPr>
            <w:tcW w:type="dxa" w:w="2268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Certifikat</w:t>
            </w:r>
          </w:p>
        </w:tc>
        <w:tc>
          <w:tcPr>
            <w:tcW w:type="dxa" w:w="1814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Podatki</w:t>
            </w:r>
          </w:p>
        </w:tc>
        <w:tc>
          <w:tcPr>
            <w:tcW w:type="dxa" w:w="2948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Namen</w:t>
            </w:r>
          </w:p>
        </w:tc>
      </w:tr>
      <w:tr>
        <w:trPr>
          <w:cantSplit/>
        </w:trPr>
        <w:tc>
          <w:tcPr>
            <w:tcW w:type="dxa" w:w="1474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Test</w:t>
            </w:r>
          </w:p>
        </w:tc>
        <w:tc>
          <w:tcPr>
            <w:tcW w:type="dxa" w:w="2268"/>
            <w:vAlign w:val="center"/>
          </w:tcPr>
          <w:p>
            <w:pPr>
              <w:spacing w:after="40"/>
            </w:pPr>
            <w:r>
              <w:rPr>
                <w:sz w:val="18"/>
              </w:rPr>
              <w:t>FURS demo TEST</w:t>
            </w:r>
          </w:p>
        </w:tc>
        <w:tc>
          <w:tcPr>
            <w:tcW w:type="dxa" w:w="1814"/>
            <w:vAlign w:val="center"/>
          </w:tcPr>
          <w:p>
            <w:pPr>
              <w:spacing w:after="40"/>
            </w:pPr>
            <w:r>
              <w:rPr>
                <w:sz w:val="18"/>
              </w:rPr>
              <w:t>Izključno testni</w:t>
            </w:r>
          </w:p>
        </w:tc>
        <w:tc>
          <w:tcPr>
            <w:tcW w:type="dxa" w:w="2948"/>
            <w:vAlign w:val="center"/>
          </w:tcPr>
          <w:p>
            <w:pPr>
              <w:spacing w:after="40"/>
            </w:pPr>
            <w:r>
              <w:rPr>
                <w:sz w:val="18"/>
              </w:rPr>
              <w:t>Razvoj in sprejemni test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Production</w:t>
            </w:r>
          </w:p>
        </w:tc>
        <w:tc>
          <w:tcPr>
            <w:tcW w:type="dxa" w:w="226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Veljaven produkcijski</w:t>
            </w:r>
          </w:p>
        </w:tc>
        <w:tc>
          <w:tcPr>
            <w:tcW w:type="dxa" w:w="181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Resnični računi</w:t>
            </w:r>
          </w:p>
        </w:tc>
        <w:tc>
          <w:tcPr>
            <w:tcW w:type="dxa" w:w="294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Redno poslovanje</w:t>
            </w:r>
          </w:p>
        </w:tc>
      </w:tr>
    </w:tbl>
    <w:p>
      <w:pPr>
        <w:spacing w:after="40"/>
      </w:pPr>
    </w:p>
    <w:p>
      <w:r>
        <w:t>Certifikata sta ločena. Aktivacija novega certifikata deaktivira prejšnjega samo v istem okolju.</w:t>
      </w:r>
    </w:p>
    <w:p>
      <w:pPr>
        <w:pStyle w:val="Heading1"/>
      </w:pPr>
      <w:r>
        <w:t>2. Osnovni URL, glave in čas</w:t>
      </w:r>
    </w:p>
    <w:p>
      <w:r>
        <w:t>Lokalni razvojni URL je praviloma https://localhost:7181. Produkcijski URL je https://furs.kvadrati.com. Vsi JSON zahtevki uporabljajo Content-Type application/json; charset=utf-8.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X-Tenant-Id: YOUR_TENANT_ID</w:t>
        <w:br/>
        <w:t>X-Api-Key: YOUR_API_KEY</w:t>
        <w:br/>
        <w:t>Content-Type: application/json; charset=utf-8</w:t>
        <w:br/>
        <w:t>Idempotency-Key: 550e8400-e29b-41d4-a716-446655440000</w:t>
      </w:r>
    </w:p>
    <w:p>
      <w:r>
        <w:t>Tehnični podatki Naročnika in API ključ se uporabljajo za avtentikacijo njegovih klicev. Administratorski klici uporabljajo Bearer JWT in vlogo Administrator. Idempotency-Key je potreben pri logičnih zapisih proti FURS, ne pri GET poizvedbah.</w:t>
      </w:r>
    </w:p>
    <w:p>
      <w:pPr>
        <w:pStyle w:val="Heading2"/>
        <w:pageBreakBefore/>
      </w:pPr>
      <w:r>
        <w:t>Pravilo za datume</w:t>
      </w:r>
    </w:p>
    <w:p>
      <w:r>
        <w:t>V bazi se časovni trenutki hranijo v UTC. Odjemalec pošlje ISO 8601 z odmikom ali UTC Z. Tik pred sestavo in podpisom protokola se trenutek pretvori v časovni pas Europe/Ljubljana. Odgovori, prebrani iz lokalne baze, so ponovno UTC. Datum veljavnosti poslovnega prostora je koledarski datum brez ure.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5102"/>
      </w:tblGrid>
      <w:tr>
        <w:trPr>
          <w:cantSplit/>
          <w:tblHeader w:val="true"/>
        </w:trPr>
        <w:tc>
          <w:tcPr>
            <w:tcW w:type="dxa" w:w="3402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Primer</w:t>
            </w:r>
          </w:p>
        </w:tc>
        <w:tc>
          <w:tcPr>
            <w:tcW w:type="dxa" w:w="5102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Pomen</w:t>
            </w:r>
          </w:p>
        </w:tc>
      </w:tr>
      <w:tr>
        <w:trPr>
          <w:cantSplit/>
        </w:trPr>
        <w:tc>
          <w:tcPr>
            <w:tcW w:type="dxa" w:w="3402"/>
            <w:vAlign w:val="center"/>
          </w:tcPr>
          <w:p>
            <w:pPr>
              <w:spacing w:after="40"/>
            </w:pPr>
            <w:r>
              <w:rPr>
                <w:sz w:val="18"/>
              </w:rPr>
              <w:t>2026-09-10T10:38:22+02:00</w:t>
            </w:r>
          </w:p>
        </w:tc>
        <w:tc>
          <w:tcPr>
            <w:tcW w:type="dxa" w:w="5102"/>
            <w:vAlign w:val="center"/>
          </w:tcPr>
          <w:p>
            <w:pPr>
              <w:spacing w:after="40"/>
            </w:pPr>
            <w:r>
              <w:rPr>
                <w:sz w:val="18"/>
              </w:rPr>
              <w:t>Slovenski poletni lokalni čas ob izdaji</w:t>
            </w:r>
          </w:p>
        </w:tc>
      </w:tr>
      <w:tr>
        <w:trPr>
          <w:cantSplit/>
        </w:trPr>
        <w:tc>
          <w:tcPr>
            <w:tcW w:type="dxa" w:w="3402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2026-09-10T08:38:22Z</w:t>
            </w:r>
          </w:p>
        </w:tc>
        <w:tc>
          <w:tcPr>
            <w:tcW w:type="dxa" w:w="5102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Isti trenutek v UTC za hrambo</w:t>
            </w:r>
          </w:p>
        </w:tc>
      </w:tr>
      <w:tr>
        <w:trPr>
          <w:cantSplit/>
        </w:trPr>
        <w:tc>
          <w:tcPr>
            <w:tcW w:type="dxa" w:w="3402"/>
            <w:vAlign w:val="center"/>
          </w:tcPr>
          <w:p>
            <w:pPr>
              <w:spacing w:after="40"/>
            </w:pPr>
            <w:r>
              <w:rPr>
                <w:sz w:val="18"/>
              </w:rPr>
              <w:t>2026-09-10</w:t>
            </w:r>
          </w:p>
        </w:tc>
        <w:tc>
          <w:tcPr>
            <w:tcW w:type="dxa" w:w="5102"/>
            <w:vAlign w:val="center"/>
          </w:tcPr>
          <w:p>
            <w:pPr>
              <w:spacing w:after="40"/>
            </w:pPr>
            <w:r>
              <w:rPr>
                <w:sz w:val="18"/>
              </w:rPr>
              <w:t>Koledarski datum veljavnosti prostora</w:t>
            </w:r>
          </w:p>
        </w:tc>
      </w:tr>
    </w:tbl>
    <w:p>
      <w:pPr>
        <w:spacing w:after="40"/>
      </w:pPr>
    </w:p>
    <w:p>
      <w:pPr>
        <w:pStyle w:val="Heading1"/>
      </w:pPr>
      <w:r>
        <w:t>3. Administratorska priprava Naročnika</w:t>
      </w:r>
    </w:p>
    <w:p>
      <w:pPr>
        <w:pStyle w:val="Heading2"/>
      </w:pPr>
      <w:r>
        <w:t>3.1 Ustvarjanje podjetja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POST /api/Tenants</w:t>
        <w:br/>
        <w:t>Authorization: Bearer YOUR_ADMIN_JWT</w:t>
        <w:br/>
        <w:br/>
        <w:t>{</w:t>
        <w:br/>
        <w:t xml:space="preserve">  "name": "Primer d.o.o.",</w:t>
        <w:br/>
        <w:t xml:space="preserve">  "taxNumber": "10195904",</w:t>
        <w:br/>
        <w:t xml:space="preserve">  "address": "Slovenska cesta 1",</w:t>
        <w:br/>
        <w:t xml:space="preserve">  "postalCode": "1000",</w:t>
        <w:br/>
        <w:t xml:space="preserve">  "city": "Ljubljana",</w:t>
        <w:br/>
        <w:t xml:space="preserve">  "countryCode": "SI",</w:t>
        <w:br/>
        <w:t xml:space="preserve">  "contactEmail": "racuni@example.si",</w:t>
        <w:br/>
        <w:t xml:space="preserve">  "billingEmail": "finance@example.si",</w:t>
        <w:br/>
        <w:t xml:space="preserve">  "logTraffic": false</w:t>
        <w:br/>
        <w:t>}</w:t>
      </w:r>
    </w:p>
    <w:p>
      <w:r>
        <w:t>Odgovor vsebuje tehnični tenantId Naročnika in API ključ. API ključ je prikazan ob nastanku oziroma rotaciji; odjemalec ga mora varno shraniti. V loge, dokumentacijo in podporne zahtevke ga ne kopirajte.</w:t>
      </w:r>
    </w:p>
    <w:p>
      <w:pPr>
        <w:pStyle w:val="Heading2"/>
      </w:pPr>
      <w:r>
        <w:t>3.2 Standardna licenca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POST /api/Tenants/YOUR_TENANT_ID/licenses</w:t>
        <w:br/>
        <w:t>Authorization: Bearer YOUR_ADMIN_JWT</w:t>
        <w:br/>
        <w:br/>
        <w:t>{</w:t>
        <w:br/>
        <w:t xml:space="preserve">  "planCode": "STANDARD_200",</w:t>
        <w:br/>
        <w:t xml:space="preserve">  "status": "Active",</w:t>
        <w:br/>
        <w:t xml:space="preserve">  "validFromUtc": "2026-09-10T00:00:00Z",</w:t>
        <w:br/>
        <w:t xml:space="preserve">  "validUntilUtc": null,</w:t>
        <w:br/>
        <w:t xml:space="preserve">  "monthlySubmissionLimit": 200,</w:t>
        <w:br/>
        <w:t xml:space="preserve">  "currency": "EUR",</w:t>
        <w:br/>
        <w:t xml:space="preserve">  "monthlyPriceExVat": 19.90,</w:t>
        <w:br/>
        <w:t xml:space="preserve">  "overagePriceExVat": 0.03,</w:t>
        <w:br/>
        <w:t xml:space="preserve">  "isComplimentary": false,</w:t>
        <w:br/>
        <w:t xml:space="preserve">  "notes": null</w:t>
        <w:br/>
        <w:t>}</w:t>
      </w:r>
    </w:p>
    <w:p>
      <w:r>
        <w:t>Presežena vključena količina ne blokira fiskalizacije. Sistem evidentira presežek za obračun. Običajen račun, storno in VKR štejejo po en zapis; paket šteje vsak vsebovani račun. Idempotentna ponovitev istega logičnega zahtevka se ne šteje dvakrat.</w:t>
      </w:r>
    </w:p>
    <w:p>
      <w:pPr>
        <w:pStyle w:val="Heading2"/>
      </w:pPr>
      <w:r>
        <w:t>3.3 Lastniška licenca Simple-Tasks</w:t>
      </w:r>
    </w:p>
    <w:p>
      <w:r>
        <w:t>Administrator po namestitvi ročno izbere pravilnega obstoječega Naročnika Simple-Tasks. Rešitev ne ugiba podjetja po imenu, domeni ali davčni številki in nima programske izjeme.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{</w:t>
        <w:br/>
        <w:t xml:space="preserve">  "planCode": "INTERNAL_UNLIMITED",</w:t>
        <w:br/>
        <w:t xml:space="preserve">  "status": "Active",</w:t>
        <w:br/>
        <w:t xml:space="preserve">  "validFromUtc": "2026-09-10T00:00:00Z",</w:t>
        <w:br/>
        <w:t xml:space="preserve">  "validUntilUtc": null,</w:t>
        <w:br/>
        <w:t xml:space="preserve">  "monthlySubmissionLimit": null,</w:t>
        <w:br/>
        <w:t xml:space="preserve">  "currency": "EUR",</w:t>
        <w:br/>
        <w:t xml:space="preserve">  "monthlyPriceExVat": 0,</w:t>
        <w:br/>
        <w:t xml:space="preserve">  "overagePriceExVat": 0,</w:t>
        <w:br/>
        <w:t xml:space="preserve">  "isComplimentary": true,</w:t>
        <w:br/>
        <w:t xml:space="preserve">  "notes": "Lastniška licenca Simple-Tasks"</w:t>
        <w:br/>
        <w:t>}</w:t>
      </w:r>
    </w:p>
    <w:p>
      <w:r>
        <w:t>Aktivna licenca je obvezna za vse API poti Naročnika. Neaktivna, začasno ustavljena ali preklicana licenca vrne HTTP 403 in code license_inactive.</w:t>
      </w:r>
    </w:p>
    <w:p>
      <w:pPr>
        <w:pStyle w:val="Heading1"/>
      </w:pPr>
      <w:r>
        <w:t>4. Samopostrežni TEST certifikat</w:t>
      </w:r>
    </w:p>
    <w:p>
      <w:r>
        <w:t>Certifikat naloži Naročnik s svojima tehničnima glavama. Zahtevek nima tenantId ali taxNumber v bodyju, zato odjemalec ne more izbrati drugega podjetja. Davčna številka se vedno izpelje iz avtenticiranega Naročnika.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POST /api/v1/tenant/certificates</w:t>
        <w:br/>
        <w:t>X-Tenant-Id: YOUR_TENANT_ID</w:t>
        <w:br/>
        <w:t>X-Api-Key: YOUR_API_KEY</w:t>
        <w:br/>
        <w:br/>
        <w:t>{</w:t>
        <w:br/>
        <w:t xml:space="preserve">  "environment": "Test",</w:t>
        <w:br/>
        <w:t xml:space="preserve">  "pkcs12": "YOUR_CERT_BASE64",</w:t>
        <w:br/>
        <w:t xml:space="preserve">  "password": "YOUR_CERT_PASSWORD"</w:t>
        <w:br/>
        <w:t>}</w:t>
      </w:r>
    </w:p>
    <w:p>
      <w:r>
        <w:t>Base64 mora predstavljati celoten PKCS#12 oziroma PFX z zasebnim ključem. Največja dovoljena velikost je 4 MiB. V odgovoru so samo varni metapodatki: thumbprint, subject in notAfter. Zaščitenih bajtov in gesla API nikoli ne vrne.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{</w:t>
        <w:br/>
        <w:t xml:space="preserve">  "thumbprint": "016657F80D7B78D7C56F1AD6D762D8B86F0BFB63",</w:t>
        <w:br/>
        <w:t xml:space="preserve">  "subject": "CN=TESTNO PODJETJE 1717, OU=DavPotRacTEST, C=SI",</w:t>
        <w:br/>
        <w:t xml:space="preserve">  "notAfter": "2027-08-23T07:14:03Z"</w:t>
        <w:br/>
        <w:t>}</w:t>
      </w:r>
    </w:p>
    <w:p>
      <w:pPr>
        <w:pStyle w:val="Heading2"/>
      </w:pPr>
      <w:r>
        <w:t>Upravljanje certifikata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68"/>
        <w:gridCol w:w="6236"/>
      </w:tblGrid>
      <w:tr>
        <w:trPr>
          <w:cantSplit/>
          <w:tblHeader w:val="true"/>
        </w:trPr>
        <w:tc>
          <w:tcPr>
            <w:tcW w:type="dxa" w:w="2268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Namen</w:t>
            </w:r>
          </w:p>
        </w:tc>
        <w:tc>
          <w:tcPr>
            <w:tcW w:type="dxa" w:w="6236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Klic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40"/>
            </w:pPr>
            <w:r>
              <w:rPr>
                <w:sz w:val="18"/>
              </w:rPr>
              <w:t>Seznam</w:t>
            </w:r>
          </w:p>
        </w:tc>
        <w:tc>
          <w:tcPr>
            <w:tcW w:type="dxa" w:w="6236"/>
            <w:vAlign w:val="center"/>
          </w:tcPr>
          <w:p>
            <w:pPr>
              <w:spacing w:after="40"/>
            </w:pPr>
            <w:r>
              <w:rPr>
                <w:sz w:val="18"/>
              </w:rPr>
              <w:t>GET /api/v1/tenant/certificates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Podrobnost</w:t>
            </w:r>
          </w:p>
        </w:tc>
        <w:tc>
          <w:tcPr>
            <w:tcW w:type="dxa" w:w="6236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GET /api/v1/tenant/certificates/{certificateId}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40"/>
            </w:pPr>
            <w:r>
              <w:rPr>
                <w:sz w:val="18"/>
              </w:rPr>
              <w:t>Deaktivacija</w:t>
            </w:r>
          </w:p>
        </w:tc>
        <w:tc>
          <w:tcPr>
            <w:tcW w:type="dxa" w:w="6236"/>
            <w:vAlign w:val="center"/>
          </w:tcPr>
          <w:p>
            <w:pPr>
              <w:spacing w:after="40"/>
            </w:pPr>
            <w:r>
              <w:rPr>
                <w:sz w:val="18"/>
              </w:rPr>
              <w:t>PUT /api/v1/tenant/certificates/{certificateId} z {"isActive":false}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Aktivacija</w:t>
            </w:r>
          </w:p>
        </w:tc>
        <w:tc>
          <w:tcPr>
            <w:tcW w:type="dxa" w:w="6236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PUT /api/v1/tenant/certificates/{certificateId} z {"isActive":true}</w:t>
            </w:r>
          </w:p>
        </w:tc>
      </w:tr>
    </w:tbl>
    <w:p>
      <w:pPr>
        <w:spacing w:after="40"/>
      </w:pPr>
    </w:p>
    <w:p>
      <w:pPr>
        <w:pStyle w:val="Heading1"/>
      </w:pPr>
      <w:r>
        <w:t>5. Preverjanje Echo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GET /api/v1/fiscalization/echo?environment=Test</w:t>
        <w:br/>
        <w:t>X-Tenant-Id: YOUR_TENANT_ID</w:t>
        <w:br/>
        <w:t>X-Api-Key: YOUR_API_KEY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{</w:t>
        <w:br/>
        <w:t xml:space="preserve">  "success": true,</w:t>
        <w:br/>
        <w:t xml:space="preserve">  "value": "furs",</w:t>
        <w:br/>
        <w:t xml:space="preserve">  "errorMessage": null</w:t>
        <w:br/>
        <w:t>}</w:t>
      </w:r>
    </w:p>
    <w:p>
      <w:r>
        <w:t>Echo preveri Naročnika, licenco, izbrani certifikat, zasebni ključ, TLS in dosegljivost FURS. Ne prijavlja prostora in ne šteje mesečne porabe.</w:t>
      </w:r>
    </w:p>
    <w:p>
      <w:pPr>
        <w:pStyle w:val="Heading1"/>
      </w:pPr>
      <w:r>
        <w:t>6. Poslovni prostori</w:t>
      </w:r>
    </w:p>
    <w:p>
      <w:pPr>
        <w:pStyle w:val="Heading2"/>
      </w:pPr>
      <w:r>
        <w:t>6.1 Premični poslovni prostor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POST /api/v1/fiscalization/business-premises</w:t>
        <w:br/>
        <w:t>Idempotency-Key: NEW_UUID</w:t>
        <w:br/>
        <w:br/>
        <w:t>{</w:t>
        <w:br/>
        <w:t xml:space="preserve">  "environment": "Test",</w:t>
        <w:br/>
        <w:t xml:space="preserve">  "businessPremise": {</w:t>
        <w:br/>
        <w:t xml:space="preserve">    "taxNumber": "10195904",</w:t>
        <w:br/>
        <w:t xml:space="preserve">    "businessPremiseId": "LJOFFICE",</w:t>
        <w:br/>
        <w:t xml:space="preserve">    "businessPremiseIdentifier": {</w:t>
        <w:br/>
        <w:t xml:space="preserve">      "realEstate": null,</w:t>
        <w:br/>
        <w:t xml:space="preserve">      "movablePremiseType": "C",</w:t>
        <w:br/>
        <w:t xml:space="preserve">      "vendingMachine": null</w:t>
        <w:br/>
        <w:t xml:space="preserve">    },</w:t>
        <w:br/>
        <w:t xml:space="preserve">    "validityDate": "2026-09-10",</w:t>
        <w:br/>
        <w:t xml:space="preserve">    "closing": false,</w:t>
        <w:br/>
        <w:t xml:space="preserve">    "softwareSuppliers": [{"taxNumber":"10195904","nameForeign":null}],</w:t>
        <w:br/>
        <w:t xml:space="preserve">    "specialNotes": "FURS TEST premični prostor č š ž"</w:t>
        <w:br/>
        <w:t xml:space="preserve">  }</w:t>
        <w:br/>
        <w:t>}</w:t>
      </w:r>
    </w:p>
    <w:p>
      <w:r>
        <w:t>businessPremiseId vsebuje največ 20 alfanumeričnih znakov. FURS lahko ponovno prijavo istega obstoječega prostora sprejme; to samo po sebi ni napaka. Vedno preverite success in outcome ter lokalni seznam.</w:t>
      </w:r>
    </w:p>
    <w:p>
      <w:pPr>
        <w:pStyle w:val="Heading2"/>
      </w:pPr>
      <w:r>
        <w:t>6.2 Nepremičnina in avtomat</w:t>
      </w:r>
    </w:p>
    <w:p>
      <w:r>
        <w:t>Za nepremičnino izpolnite realEstate s katastrsko občino, številko stavbe in delom stavbe ter naslovom. Za prodajni avtomat uporabite vendingMachine z zemljepisno širino in dolžino. Naenkrat mora biti izpolnjena natanko ena vrsta identifikatorja.</w:t>
      </w:r>
    </w:p>
    <w:p>
      <w:pPr>
        <w:pStyle w:val="Heading2"/>
      </w:pPr>
      <w:r>
        <w:t>6.3 Seznam in podrobnost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GET /api/v1/fiscalization/business-premises?environment=Test&amp;take=100</w:t>
        <w:br/>
        <w:t>GET /api/v1/fiscalization/business-premises/YOUR_BUSINESS_PREMISE_DB_GUID</w:t>
      </w:r>
    </w:p>
    <w:p>
      <w:r>
        <w:t>GUID id iz lokalnega seznama je identifikator zapisa v tej storitvi. businessPremiseId, na primer LJOFFICE, je poslovna oznaka protokola FURS. Ne zamenjujte ju.</w:t>
      </w:r>
    </w:p>
    <w:p>
      <w:pPr>
        <w:pStyle w:val="Heading2"/>
      </w:pPr>
      <w:r>
        <w:t>6.4 Trajno zaprtje</w:t>
      </w:r>
    </w:p>
    <w:p>
      <w:r>
        <w:t>Zaprtje se izvede z istim BusinessPremise DTO, closing=true in endpointom /closures. To je trajna operacija FURS. Za test uporabite namensko oznako, na primer CLOSEME1, in je po uspešnem zaprtju ne uporabljajte več.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POST /api/v1/fiscalization/closures</w:t>
        <w:br/>
        <w:t>Idempotency-Key: NEW_UUID</w:t>
        <w:br/>
        <w:br/>
        <w:t>{</w:t>
        <w:br/>
        <w:t xml:space="preserve">  "environment":"Test",</w:t>
        <w:br/>
        <w:t xml:space="preserve">  "businessPremise": {</w:t>
        <w:br/>
        <w:t xml:space="preserve">    "taxNumber":"10195904",</w:t>
        <w:br/>
        <w:t xml:space="preserve">    "businessPremiseId":"CLOSEME1",</w:t>
        <w:br/>
        <w:t xml:space="preserve">    "businessPremiseIdentifier":{"movablePremiseType":"C"},</w:t>
        <w:br/>
        <w:t xml:space="preserve">    "validityDate":"2026-09-10",</w:t>
        <w:br/>
        <w:t xml:space="preserve">    "closing":true,</w:t>
        <w:br/>
        <w:t xml:space="preserve">    "softwareSuppliers":[{"taxNumber":"10195904"}]</w:t>
        <w:br/>
        <w:t xml:space="preserve">  }</w:t>
        <w:br/>
        <w:t>}</w:t>
      </w:r>
    </w:p>
    <w:p>
      <w:pPr>
        <w:pStyle w:val="Heading1"/>
      </w:pPr>
      <w:r>
        <w:t>7. Elektronske naprave – blagajne</w:t>
      </w:r>
    </w:p>
    <w:p>
      <w:r>
        <w:t>Elektronska naprava je lokalna evidenca Naročnika. FURS jo prejme kot del številke računa, nima pa ločenega protokola za prijavo ali brisanje naprave.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POST /api/v1/fiscalization/electronic-devices</w:t>
        <w:br/>
        <w:br/>
        <w:t>{</w:t>
        <w:br/>
        <w:t xml:space="preserve">  "environment": "Test",</w:t>
        <w:br/>
        <w:t xml:space="preserve">  "businessPremiseId": "LJOFFICE",</w:t>
        <w:br/>
        <w:t xml:space="preserve">  "electronicDeviceId": "CASHREGISTER1",</w:t>
        <w:br/>
        <w:t xml:space="preserve">  "description": "Spletna blagajna",</w:t>
        <w:br/>
        <w:t xml:space="preserve">  "isActive": true</w:t>
        <w:br/>
        <w:t>}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01"/>
        <w:gridCol w:w="3798"/>
        <w:gridCol w:w="3005"/>
      </w:tblGrid>
      <w:tr>
        <w:trPr>
          <w:cantSplit/>
          <w:tblHeader w:val="true"/>
        </w:trPr>
        <w:tc>
          <w:tcPr>
            <w:tcW w:type="dxa" w:w="1701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Dejanje</w:t>
            </w:r>
          </w:p>
        </w:tc>
        <w:tc>
          <w:tcPr>
            <w:tcW w:type="dxa" w:w="3798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Klic</w:t>
            </w:r>
          </w:p>
        </w:tc>
        <w:tc>
          <w:tcPr>
            <w:tcW w:type="dxa" w:w="3005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Posledica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spacing w:after="40"/>
            </w:pPr>
            <w:r>
              <w:rPr>
                <w:sz w:val="18"/>
              </w:rPr>
              <w:t>Seznam</w:t>
            </w:r>
          </w:p>
        </w:tc>
        <w:tc>
          <w:tcPr>
            <w:tcW w:type="dxa" w:w="3798"/>
            <w:vAlign w:val="center"/>
          </w:tcPr>
          <w:p>
            <w:pPr>
              <w:spacing w:after="40"/>
            </w:pPr>
            <w:r>
              <w:rPr>
                <w:sz w:val="18"/>
              </w:rPr>
              <w:t>GET /electronic-devices?environment=Test</w:t>
            </w:r>
          </w:p>
        </w:tc>
        <w:tc>
          <w:tcPr>
            <w:tcW w:type="dxa" w:w="3005"/>
            <w:vAlign w:val="center"/>
          </w:tcPr>
          <w:p>
            <w:pPr>
              <w:spacing w:after="40"/>
            </w:pPr>
            <w:r>
              <w:rPr>
                <w:sz w:val="18"/>
              </w:rPr>
              <w:t>Vrne samo naprave Naročnika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Podrobnost</w:t>
            </w:r>
          </w:p>
        </w:tc>
        <w:tc>
          <w:tcPr>
            <w:tcW w:type="dxa" w:w="379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GET /electronic-devices/{deviceDbGuid}</w:t>
            </w:r>
          </w:p>
        </w:tc>
        <w:tc>
          <w:tcPr>
            <w:tcW w:type="dxa" w:w="3005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Vrne lokalni zapis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spacing w:after="40"/>
            </w:pPr>
            <w:r>
              <w:rPr>
                <w:sz w:val="18"/>
              </w:rPr>
              <w:t>Deaktivacija</w:t>
            </w:r>
          </w:p>
        </w:tc>
        <w:tc>
          <w:tcPr>
            <w:tcW w:type="dxa" w:w="3798"/>
            <w:vAlign w:val="center"/>
          </w:tcPr>
          <w:p>
            <w:pPr>
              <w:spacing w:after="40"/>
            </w:pPr>
            <w:r>
              <w:rPr>
                <w:sz w:val="18"/>
              </w:rPr>
              <w:t>PUT /electronic-devices/{deviceDbGuid}</w:t>
            </w:r>
          </w:p>
        </w:tc>
        <w:tc>
          <w:tcPr>
            <w:tcW w:type="dxa" w:w="3005"/>
            <w:vAlign w:val="center"/>
          </w:tcPr>
          <w:p>
            <w:pPr>
              <w:spacing w:after="40"/>
            </w:pPr>
            <w:r>
              <w:rPr>
                <w:sz w:val="18"/>
              </w:rPr>
              <w:t>isActive=false prepreči nove račune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Ponovna aktivacija</w:t>
            </w:r>
          </w:p>
        </w:tc>
        <w:tc>
          <w:tcPr>
            <w:tcW w:type="dxa" w:w="379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PUT /electronic-devices/{deviceDbGuid}</w:t>
            </w:r>
          </w:p>
        </w:tc>
        <w:tc>
          <w:tcPr>
            <w:tcW w:type="dxa" w:w="3005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isActive=true ponovno dovoli uporabo</w:t>
            </w:r>
          </w:p>
        </w:tc>
      </w:tr>
    </w:tbl>
    <w:p>
      <w:pPr>
        <w:spacing w:after="40"/>
      </w:pP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{</w:t>
        <w:br/>
        <w:t xml:space="preserve">  "id": "YOUR_DEVICE_DB_GUID",</w:t>
        <w:br/>
        <w:t xml:space="preserve">  "description": "Spletna blagajna",</w:t>
        <w:br/>
        <w:t xml:space="preserve">  "isActive": false</w:t>
        <w:br/>
        <w:t>}</w:t>
      </w:r>
    </w:p>
    <w:p>
      <w:r>
        <w:t>Brisanje naprave ni predvideno, ker bi prekinilo sledljivost že izdanih računov. Deaktivacija je reverzibilna.</w:t>
      </w:r>
    </w:p>
    <w:p>
      <w:pPr>
        <w:pStyle w:val="Heading1"/>
      </w:pPr>
      <w:r>
        <w:t>8. Potrditev običajnega računa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POST /api/v1/fiscalization/invoices</w:t>
        <w:br/>
        <w:t>Idempotency-Key: NEW_UUID</w:t>
        <w:br/>
        <w:br/>
        <w:t>{</w:t>
        <w:br/>
        <w:t xml:space="preserve">  "environment": "Test",</w:t>
        <w:br/>
        <w:t xml:space="preserve">  "invoice": {</w:t>
        <w:br/>
        <w:t xml:space="preserve">    "taxNumber": "10195904",</w:t>
        <w:br/>
        <w:t xml:space="preserve">    "issueDateTime": "2026-09-10T10:38:22+02:00",</w:t>
        <w:br/>
        <w:t xml:space="preserve">    "numberingStructure": "B",</w:t>
        <w:br/>
        <w:t xml:space="preserve">    "invoiceIdentifier": {</w:t>
        <w:br/>
        <w:t xml:space="preserve">      "businessPremiseId": "LJOFFICE",</w:t>
        <w:br/>
        <w:t xml:space="preserve">      "electronicDeviceId": "CASHREGISTER1",</w:t>
        <w:br/>
        <w:t xml:space="preserve">      "invoiceNumber": "1"</w:t>
        <w:br/>
        <w:t xml:space="preserve">    },</w:t>
        <w:br/>
        <w:t xml:space="preserve">    "customerVATNumber": null,</w:t>
        <w:br/>
        <w:t xml:space="preserve">    "invoiceAmount": 12.20,</w:t>
        <w:br/>
        <w:t xml:space="preserve">    "returnsAmount": null,</w:t>
        <w:br/>
        <w:t xml:space="preserve">    "paymentAmount": 12.20,</w:t>
        <w:br/>
        <w:t xml:space="preserve">    "taxesPerSeller": [{</w:t>
        <w:br/>
        <w:t xml:space="preserve">      "sellerTaxNumber": null,</w:t>
        <w:br/>
        <w:t xml:space="preserve">      "vat": [{"taxRate":22.00,"taxableAmount":10.00,"taxAmount":2.20}]</w:t>
        <w:br/>
        <w:t xml:space="preserve">    }],</w:t>
        <w:br/>
        <w:t xml:space="preserve">    "operatorTaxNumber": "10195904",</w:t>
        <w:br/>
        <w:t xml:space="preserve">    "foreignOperator": false,</w:t>
        <w:br/>
        <w:t xml:space="preserve">    "subsequentSubmit": false,</w:t>
        <w:br/>
        <w:t xml:space="preserve">    "specialNotes": "Preizkus č š ž UTF-8"</w:t>
        <w:br/>
        <w:t xml:space="preserve">  }</w:t>
        <w:br/>
        <w:t>}</w:t>
      </w:r>
    </w:p>
    <w:p>
      <w:r>
        <w:t>invoiceNumber mora biti pozitivna številčna poslovna oznaka, ne GUID. Pred oddajo morata biti prostor odprt in naprava aktivna v istem okolju.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{</w:t>
        <w:br/>
        <w:t xml:space="preserve">  "success": true,</w:t>
        <w:br/>
        <w:t xml:space="preserve">  "eor": "99991bc8-cd09-4119-82e2-d491ef4f087f",</w:t>
        <w:br/>
        <w:t xml:space="preserve">  "zoi": "346d4757c4ede2c9afba467709b7b10b",</w:t>
        <w:br/>
        <w:t xml:space="preserve">  "qrPayload": "MASKED_QR_PAYLOAD",</w:t>
        <w:br/>
        <w:t xml:space="preserve">  "qrPngBase64": "OMITTED_IN_GUIDE",</w:t>
        <w:br/>
        <w:t xml:space="preserve">  "errorCode": null,</w:t>
        <w:br/>
        <w:t xml:space="preserve">  "errorMessage": null,</w:t>
        <w:br/>
        <w:t xml:space="preserve">  "responseDateTime": "2026-09-10T10:38:25+02:00",</w:t>
        <w:br/>
        <w:t xml:space="preserve">  "messageId": "8dc75663-2f71-4366-9bb5-321b31194720",</w:t>
        <w:br/>
        <w:t xml:space="preserve">  "outcome": "Accepted"</w:t>
        <w:br/>
        <w:t>}</w:t>
      </w:r>
    </w:p>
    <w:p>
      <w:pPr>
        <w:pStyle w:val="Heading1"/>
      </w:pPr>
      <w:r>
        <w:t>9. Storno računa</w:t>
      </w:r>
    </w:p>
    <w:p>
      <w:r>
        <w:t>Storno je nov račun z negativnimi zneski in novo lastno invoiceNumber. referenceInvoices mora vsebovati dejansko sestavljeno FURS identifikacijo originala in čas njegove izdaje. Interni id iz GET /invoices je GUID lokalnega zapisa in ne sodi v invoiceNumber.</w:t>
      </w:r>
    </w:p>
    <w:p>
      <w:pPr>
        <w:keepLines/>
        <w:spacing w:before="60" w:after="200"/>
        <w:ind w:left="142" w:right="142"/>
        <w:shd w:fill="F0F4F8"/>
      </w:pPr>
      <w:r>
        <w:rPr>
          <w:rFonts w:ascii="Consolas" w:hAnsi="Consolas"/>
          <w:color w:val="0B1F33"/>
          <w:sz w:val="16"/>
        </w:rPr>
        <w:t>POST /api/v1/fiscalization/cancellations</w:t>
        <w:br/>
        <w:t>Idempotency-Key: NEW_UUID</w:t>
        <w:br/>
        <w:br/>
        <w:t>{</w:t>
        <w:br/>
        <w:t xml:space="preserve">  "environment": "Test",</w:t>
        <w:br/>
        <w:t xml:space="preserve">  "cancellationInvoice": {</w:t>
        <w:br/>
        <w:t xml:space="preserve">    "taxNumber": "10195904",</w:t>
        <w:br/>
        <w:t xml:space="preserve">    "issueDateTime": "2026-09-10T18:25:00+02:00",</w:t>
        <w:br/>
        <w:t xml:space="preserve">    "numberingStructure": "B",</w:t>
        <w:br/>
        <w:t xml:space="preserve">    "invoiceIdentifier": {</w:t>
        <w:br/>
        <w:t xml:space="preserve">      "businessPremiseId":"LJOFFICE",</w:t>
        <w:br/>
        <w:t xml:space="preserve">      "electronicDeviceId":"CASHREGISTER1",</w:t>
        <w:br/>
        <w:t xml:space="preserve">      "invoiceNumber":"2"</w:t>
        <w:br/>
        <w:t xml:space="preserve">    },</w:t>
        <w:br/>
        <w:t xml:space="preserve">    "invoiceAmount": -12.20,</w:t>
        <w:br/>
        <w:t xml:space="preserve">    "paymentAmount": -12.20,</w:t>
        <w:br/>
        <w:t xml:space="preserve">    "taxesPerSeller": [{"vat":[{"taxRate":22.00,"taxableAmount":-10.00,"taxAmount":-2.20}]}],</w:t>
        <w:br/>
        <w:t xml:space="preserve">    "operatorTaxNumber":"10195904",</w:t>
        <w:br/>
        <w:t xml:space="preserve">    "foreignOperator":false,</w:t>
        <w:br/>
        <w:t xml:space="preserve">    "subsequentSubmit":false,</w:t>
        <w:br/>
        <w:t xml:space="preserve">    "referenceInvoices": [{</w:t>
        <w:br/>
        <w:t xml:space="preserve">      "invoiceIdentifier": {</w:t>
        <w:br/>
        <w:t xml:space="preserve">        "businessPremiseId":"LJOFFICE",</w:t>
        <w:br/>
        <w:t xml:space="preserve">        "electronicDeviceId":"CASHREGISTER1",</w:t>
        <w:br/>
        <w:t xml:space="preserve">        "invoiceNumber":"1"</w:t>
        <w:br/>
        <w:t xml:space="preserve">      },</w:t>
        <w:br/>
        <w:t xml:space="preserve">      "issueDateTime":"2026-09-10T10:38:22+02:00"</w:t>
        <w:br/>
        <w:t xml:space="preserve">    }],</w:t>
        <w:br/>
        <w:t xml:space="preserve">    "specialNotes":"Storno originalnega računa"</w:t>
        <w:br/>
        <w:t xml:space="preserve">  }</w:t>
        <w:br/>
        <w:t>}</w:t>
      </w:r>
    </w:p>
    <w:p>
      <w:r>
        <w:t>Če v referenceInvoices.invoiceIdentifier.invoiceNumber pomotoma vstavite lokalni GUID, validacija pravilno vrne 400. Starejši račun v bazi ima lahko issueDateTime v UTC; to je isti trenutek in ga lahko pošljete kot Z ali pretvorjenega v +01:00 oziroma +02:00 glede na datum.</w:t>
      </w:r>
    </w:p>
    <w:p>
      <w:pPr>
        <w:pStyle w:val="Heading1"/>
      </w:pPr>
      <w:r>
        <w:t>10. Vezana knjiga računov</w:t>
      </w:r>
    </w:p>
    <w:p>
      <w:r>
        <w:t>Za vnaprej oštevilčene račune iz vezane knjige uporabite POST /api/v1/fiscalization/sales-book-invoices. Zahtevek ima svoj SalesBookIdentifier in ne uporablja elektronske naprave. Uspešen odgovor lahko vsebuje EOR brez ZOI in QR kode, kar je za ta protokol pričakovano.</w:t>
      </w:r>
    </w:p>
    <w:p>
      <w:pPr>
        <w:pStyle w:val="Heading1"/>
      </w:pPr>
      <w:r>
        <w:t>11. Paketne operacije</w:t>
      </w:r>
    </w:p>
    <w:p>
      <w:r>
        <w:t>Paket vsebuje od 2 do 500 zapisov. invoice-batches vrne rezultate po recordNumber; business-premise-batches lahko ob uspehu pravilno vrne prazen records. En Idempotency-Key velja za cel paket, mesečna poraba pa se poveča za število računov v paketu.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28"/>
        <w:gridCol w:w="2438"/>
        <w:gridCol w:w="2438"/>
      </w:tblGrid>
      <w:tr>
        <w:trPr>
          <w:cantSplit/>
          <w:tblHeader w:val="true"/>
        </w:trPr>
        <w:tc>
          <w:tcPr>
            <w:tcW w:type="dxa" w:w="3628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Endpoint</w:t>
            </w:r>
          </w:p>
        </w:tc>
        <w:tc>
          <w:tcPr>
            <w:tcW w:type="dxa" w:w="2438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Velikost</w:t>
            </w:r>
          </w:p>
        </w:tc>
        <w:tc>
          <w:tcPr>
            <w:tcW w:type="dxa" w:w="2438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Štetje</w:t>
            </w:r>
          </w:p>
        </w:tc>
      </w:tr>
      <w:tr>
        <w:trPr>
          <w:cantSplit/>
        </w:trPr>
        <w:tc>
          <w:tcPr>
            <w:tcW w:type="dxa" w:w="3628"/>
            <w:vAlign w:val="center"/>
          </w:tcPr>
          <w:p>
            <w:pPr>
              <w:spacing w:after="40"/>
            </w:pPr>
            <w:r>
              <w:rPr>
                <w:sz w:val="18"/>
              </w:rPr>
              <w:t>POST /invoice-batches</w:t>
            </w:r>
          </w:p>
        </w:tc>
        <w:tc>
          <w:tcPr>
            <w:tcW w:type="dxa" w:w="2438"/>
            <w:vAlign w:val="center"/>
          </w:tcPr>
          <w:p>
            <w:pPr>
              <w:spacing w:after="40"/>
            </w:pPr>
            <w:r>
              <w:rPr>
                <w:sz w:val="18"/>
              </w:rPr>
              <w:t>2 do 500 računov</w:t>
            </w:r>
          </w:p>
        </w:tc>
        <w:tc>
          <w:tcPr>
            <w:tcW w:type="dxa" w:w="2438"/>
            <w:vAlign w:val="center"/>
          </w:tcPr>
          <w:p>
            <w:pPr>
              <w:spacing w:after="40"/>
            </w:pPr>
            <w:r>
              <w:rPr>
                <w:sz w:val="18"/>
              </w:rPr>
              <w:t>Vsak vsebovani račun</w:t>
            </w:r>
          </w:p>
        </w:tc>
      </w:tr>
      <w:tr>
        <w:trPr>
          <w:cantSplit/>
        </w:trPr>
        <w:tc>
          <w:tcPr>
            <w:tcW w:type="dxa" w:w="362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POST /business-premise-batches</w:t>
            </w:r>
          </w:p>
        </w:tc>
        <w:tc>
          <w:tcPr>
            <w:tcW w:type="dxa" w:w="243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2 do 500 prostorov</w:t>
            </w:r>
          </w:p>
        </w:tc>
        <w:tc>
          <w:tcPr>
            <w:tcW w:type="dxa" w:w="243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Ne šteje v računovodski paket</w:t>
            </w:r>
          </w:p>
        </w:tc>
      </w:tr>
    </w:tbl>
    <w:p>
      <w:pPr>
        <w:spacing w:after="40"/>
      </w:pPr>
    </w:p>
    <w:p>
      <w:r>
        <w:t>Če response vsebuje outcome Unknown, ne izdelajte novega paketa z novimi številkami brez poslovnega preverjanja. Morebitni sprejem pri FURS bi povzročil podvajanje.</w:t>
      </w:r>
    </w:p>
    <w:p>
      <w:pPr>
        <w:pStyle w:val="Heading1"/>
      </w:pPr>
      <w:r>
        <w:t>12. Lokalna evidenca in poizvedbe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01"/>
        <w:gridCol w:w="3402"/>
        <w:gridCol w:w="3402"/>
      </w:tblGrid>
      <w:tr>
        <w:trPr>
          <w:cantSplit/>
          <w:tblHeader w:val="true"/>
        </w:trPr>
        <w:tc>
          <w:tcPr>
            <w:tcW w:type="dxa" w:w="1701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Podatek</w:t>
            </w:r>
          </w:p>
        </w:tc>
        <w:tc>
          <w:tcPr>
            <w:tcW w:type="dxa" w:w="3402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Endpoint</w:t>
            </w:r>
          </w:p>
        </w:tc>
        <w:tc>
          <w:tcPr>
            <w:tcW w:type="dxa" w:w="3402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Pomemben filter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spacing w:after="40"/>
            </w:pPr>
            <w:r>
              <w:rPr>
                <w:sz w:val="18"/>
              </w:rPr>
              <w:t>Računi</w:t>
            </w:r>
          </w:p>
        </w:tc>
        <w:tc>
          <w:tcPr>
            <w:tcW w:type="dxa" w:w="3402"/>
            <w:vAlign w:val="center"/>
          </w:tcPr>
          <w:p>
            <w:pPr>
              <w:spacing w:after="40"/>
            </w:pPr>
            <w:r>
              <w:rPr>
                <w:sz w:val="18"/>
              </w:rPr>
              <w:t>GET /api/v1/fiscalization/invoices</w:t>
            </w:r>
          </w:p>
        </w:tc>
        <w:tc>
          <w:tcPr>
            <w:tcW w:type="dxa" w:w="3402"/>
            <w:vAlign w:val="center"/>
          </w:tcPr>
          <w:p>
            <w:pPr>
              <w:spacing w:after="40"/>
            </w:pPr>
            <w:r>
              <w:rPr>
                <w:sz w:val="18"/>
              </w:rPr>
              <w:t>environment, premise, device, invoiceNumber, success, isCancellation, from, to, take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Račun</w:t>
            </w:r>
          </w:p>
        </w:tc>
        <w:tc>
          <w:tcPr>
            <w:tcW w:type="dxa" w:w="3402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GET /api/v1/fiscalization/invoices/{id}</w:t>
            </w:r>
          </w:p>
        </w:tc>
        <w:tc>
          <w:tcPr>
            <w:tcW w:type="dxa" w:w="3402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id je lokalni GUID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spacing w:after="40"/>
            </w:pPr>
            <w:r>
              <w:rPr>
                <w:sz w:val="18"/>
              </w:rPr>
              <w:t>Prostori</w:t>
            </w:r>
          </w:p>
        </w:tc>
        <w:tc>
          <w:tcPr>
            <w:tcW w:type="dxa" w:w="3402"/>
            <w:vAlign w:val="center"/>
          </w:tcPr>
          <w:p>
            <w:pPr>
              <w:spacing w:after="40"/>
            </w:pPr>
            <w:r>
              <w:rPr>
                <w:sz w:val="18"/>
              </w:rPr>
              <w:t>GET /api/v1/fiscalization/business-premises</w:t>
            </w:r>
          </w:p>
        </w:tc>
        <w:tc>
          <w:tcPr>
            <w:tcW w:type="dxa" w:w="3402"/>
            <w:vAlign w:val="center"/>
          </w:tcPr>
          <w:p>
            <w:pPr>
              <w:spacing w:after="40"/>
            </w:pPr>
            <w:r>
              <w:rPr>
                <w:sz w:val="18"/>
              </w:rPr>
              <w:t>environment, businessPremiseId, isClosed, take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Naprave</w:t>
            </w:r>
          </w:p>
        </w:tc>
        <w:tc>
          <w:tcPr>
            <w:tcW w:type="dxa" w:w="3402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GET /api/v1/fiscalization/electronic-devices</w:t>
            </w:r>
          </w:p>
        </w:tc>
        <w:tc>
          <w:tcPr>
            <w:tcW w:type="dxa" w:w="3402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environment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spacing w:after="40"/>
            </w:pPr>
            <w:r>
              <w:rPr>
                <w:sz w:val="18"/>
              </w:rPr>
              <w:t>Certifikati</w:t>
            </w:r>
          </w:p>
        </w:tc>
        <w:tc>
          <w:tcPr>
            <w:tcW w:type="dxa" w:w="3402"/>
            <w:vAlign w:val="center"/>
          </w:tcPr>
          <w:p>
            <w:pPr>
              <w:spacing w:after="40"/>
            </w:pPr>
            <w:r>
              <w:rPr>
                <w:sz w:val="18"/>
              </w:rPr>
              <w:t>GET /api/v1/tenant/certificates</w:t>
            </w:r>
          </w:p>
        </w:tc>
        <w:tc>
          <w:tcPr>
            <w:tcW w:type="dxa" w:w="3402"/>
            <w:vAlign w:val="center"/>
          </w:tcPr>
          <w:p>
            <w:pPr>
              <w:spacing w:after="40"/>
            </w:pPr>
            <w:r>
              <w:rPr>
                <w:sz w:val="18"/>
              </w:rPr>
              <w:t>vedno samo trenutni Naročnik</w:t>
            </w:r>
          </w:p>
        </w:tc>
      </w:tr>
    </w:tbl>
    <w:p>
      <w:pPr>
        <w:spacing w:after="40"/>
      </w:pPr>
    </w:p>
    <w:p>
      <w:r>
        <w:t>Intervala from in to pošljite kot UTC ISO 8601. Vrednosti responseDateTime iz neposrednih FURS odzivov imajo lahko slovenski odmik, medtem ko fursDateTime iz lokalnega GET pravilno predstavlja UTC.</w:t>
      </w:r>
    </w:p>
    <w:p>
      <w:pPr>
        <w:pStyle w:val="Heading1"/>
      </w:pPr>
      <w:r>
        <w:t>13. Idempotenca in odločanje po izidu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87"/>
        <w:gridCol w:w="2835"/>
        <w:gridCol w:w="4082"/>
      </w:tblGrid>
      <w:tr>
        <w:trPr>
          <w:cantSplit/>
          <w:tblHeader w:val="true"/>
        </w:trPr>
        <w:tc>
          <w:tcPr>
            <w:tcW w:type="dxa" w:w="1587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Outcome</w:t>
            </w:r>
          </w:p>
        </w:tc>
        <w:tc>
          <w:tcPr>
            <w:tcW w:type="dxa" w:w="2835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Pomen</w:t>
            </w:r>
          </w:p>
        </w:tc>
        <w:tc>
          <w:tcPr>
            <w:tcW w:type="dxa" w:w="4082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Pravilno nadaljevanje</w:t>
            </w:r>
          </w:p>
        </w:tc>
      </w:tr>
      <w:tr>
        <w:trPr>
          <w:cantSplit/>
        </w:trPr>
        <w:tc>
          <w:tcPr>
            <w:tcW w:type="dxa" w:w="1587"/>
            <w:vAlign w:val="center"/>
          </w:tcPr>
          <w:p>
            <w:pPr>
              <w:spacing w:after="40"/>
            </w:pPr>
            <w:r>
              <w:rPr>
                <w:sz w:val="18"/>
              </w:rPr>
              <w:t>Accepted</w:t>
            </w:r>
          </w:p>
        </w:tc>
        <w:tc>
          <w:tcPr>
            <w:tcW w:type="dxa" w:w="2835"/>
            <w:vAlign w:val="center"/>
          </w:tcPr>
          <w:p>
            <w:pPr>
              <w:spacing w:after="40"/>
            </w:pPr>
            <w:r>
              <w:rPr>
                <w:sz w:val="18"/>
              </w:rPr>
              <w:t>FURS je sprejel zahtevek</w:t>
            </w:r>
          </w:p>
        </w:tc>
        <w:tc>
          <w:tcPr>
            <w:tcW w:type="dxa" w:w="4082"/>
            <w:vAlign w:val="center"/>
          </w:tcPr>
          <w:p>
            <w:pPr>
              <w:spacing w:after="40"/>
            </w:pPr>
            <w:r>
              <w:rPr>
                <w:sz w:val="18"/>
              </w:rPr>
              <w:t>Shranite EOR, ZOI in odgovor; ne ponavljajte z novim ključem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Rejected</w:t>
            </w:r>
          </w:p>
        </w:tc>
        <w:tc>
          <w:tcPr>
            <w:tcW w:type="dxa" w:w="2835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FURS je vrnil poslovno napako</w:t>
            </w:r>
          </w:p>
        </w:tc>
        <w:tc>
          <w:tcPr>
            <w:tcW w:type="dxa" w:w="4082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Popravite podatke; spremenjen nov zahtevek dobi nov ključ</w:t>
            </w:r>
          </w:p>
        </w:tc>
      </w:tr>
      <w:tr>
        <w:trPr>
          <w:cantSplit/>
        </w:trPr>
        <w:tc>
          <w:tcPr>
            <w:tcW w:type="dxa" w:w="1587"/>
            <w:vAlign w:val="center"/>
          </w:tcPr>
          <w:p>
            <w:pPr>
              <w:spacing w:after="40"/>
            </w:pPr>
            <w:r>
              <w:rPr>
                <w:sz w:val="18"/>
              </w:rPr>
              <w:t>RetryableFailure</w:t>
            </w:r>
          </w:p>
        </w:tc>
        <w:tc>
          <w:tcPr>
            <w:tcW w:type="dxa" w:w="2835"/>
            <w:vAlign w:val="center"/>
          </w:tcPr>
          <w:p>
            <w:pPr>
              <w:spacing w:after="40"/>
            </w:pPr>
            <w:r>
              <w:rPr>
                <w:sz w:val="18"/>
              </w:rPr>
              <w:t>Varen prehodni neuspeh</w:t>
            </w:r>
          </w:p>
        </w:tc>
        <w:tc>
          <w:tcPr>
            <w:tcW w:type="dxa" w:w="4082"/>
            <w:vAlign w:val="center"/>
          </w:tcPr>
          <w:p>
            <w:pPr>
              <w:spacing w:after="40"/>
            </w:pPr>
            <w:r>
              <w:rPr>
                <w:sz w:val="18"/>
              </w:rPr>
              <w:t>Ponovite isti body z istim ključem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Unknown</w:t>
            </w:r>
          </w:p>
        </w:tc>
        <w:tc>
          <w:tcPr>
            <w:tcW w:type="dxa" w:w="2835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Izid prenosa ni zanesljivo znan</w:t>
            </w:r>
          </w:p>
        </w:tc>
        <w:tc>
          <w:tcPr>
            <w:tcW w:type="dxa" w:w="4082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Ne samodejno ponoviti z novim ključem; preveriti stanje</w:t>
            </w:r>
          </w:p>
        </w:tc>
      </w:tr>
    </w:tbl>
    <w:p>
      <w:pPr>
        <w:spacing w:after="40"/>
      </w:pPr>
    </w:p>
    <w:p>
      <w:r>
        <w:t>Isti ključ z drugačnim bodyjem vrne HTTP 409. Isti ključ z istim bodyjem vrne shranjen rezultat brez ponovne oddaje in brez ponovnega štetja porabe.</w:t>
      </w:r>
    </w:p>
    <w:p>
      <w:pPr>
        <w:pStyle w:val="Heading1"/>
      </w:pPr>
      <w:r>
        <w:t>14. Napake in diagnostika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84"/>
        <w:gridCol w:w="3231"/>
        <w:gridCol w:w="3288"/>
      </w:tblGrid>
      <w:tr>
        <w:trPr>
          <w:cantSplit/>
          <w:tblHeader w:val="true"/>
        </w:trPr>
        <w:tc>
          <w:tcPr>
            <w:tcW w:type="dxa" w:w="1984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HTTP ali koda</w:t>
            </w:r>
          </w:p>
        </w:tc>
        <w:tc>
          <w:tcPr>
            <w:tcW w:type="dxa" w:w="3231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Kaj pomeni</w:t>
            </w:r>
          </w:p>
        </w:tc>
        <w:tc>
          <w:tcPr>
            <w:tcW w:type="dxa" w:w="3288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Ukrep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40"/>
            </w:pPr>
            <w:r>
              <w:rPr>
                <w:sz w:val="18"/>
              </w:rPr>
              <w:t>400</w:t>
            </w:r>
          </w:p>
        </w:tc>
        <w:tc>
          <w:tcPr>
            <w:tcW w:type="dxa" w:w="3231"/>
            <w:vAlign w:val="center"/>
          </w:tcPr>
          <w:p>
            <w:pPr>
              <w:spacing w:after="40"/>
            </w:pPr>
            <w:r>
              <w:rPr>
                <w:sz w:val="18"/>
              </w:rPr>
              <w:t>DTO ali FURS v3.2 pogodba ni veljavna</w:t>
            </w:r>
          </w:p>
        </w:tc>
        <w:tc>
          <w:tcPr>
            <w:tcW w:type="dxa" w:w="3288"/>
            <w:vAlign w:val="center"/>
          </w:tcPr>
          <w:p>
            <w:pPr>
              <w:spacing w:after="40"/>
            </w:pPr>
            <w:r>
              <w:rPr>
                <w:sz w:val="18"/>
              </w:rPr>
              <w:t>Preberite errors in popravite polja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401</w:t>
            </w:r>
          </w:p>
        </w:tc>
        <w:tc>
          <w:tcPr>
            <w:tcW w:type="dxa" w:w="323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Naročnik ali API ključ ni veljaven</w:t>
            </w:r>
          </w:p>
        </w:tc>
        <w:tc>
          <w:tcPr>
            <w:tcW w:type="dxa" w:w="328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Preverite obe glavi; ne razkrivajte ključa v logu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40"/>
            </w:pPr>
            <w:r>
              <w:rPr>
                <w:sz w:val="18"/>
              </w:rPr>
              <w:t>403 license_inactive</w:t>
            </w:r>
          </w:p>
        </w:tc>
        <w:tc>
          <w:tcPr>
            <w:tcW w:type="dxa" w:w="3231"/>
            <w:vAlign w:val="center"/>
          </w:tcPr>
          <w:p>
            <w:pPr>
              <w:spacing w:after="40"/>
            </w:pPr>
            <w:r>
              <w:rPr>
                <w:sz w:val="18"/>
              </w:rPr>
              <w:t>Ni veljavne aktivne licence</w:t>
            </w:r>
          </w:p>
        </w:tc>
        <w:tc>
          <w:tcPr>
            <w:tcW w:type="dxa" w:w="3288"/>
            <w:vAlign w:val="center"/>
          </w:tcPr>
          <w:p>
            <w:pPr>
              <w:spacing w:after="40"/>
            </w:pPr>
            <w:r>
              <w:rPr>
                <w:sz w:val="18"/>
              </w:rPr>
              <w:t>Administrator preveri obdobje in status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404</w:t>
            </w:r>
          </w:p>
        </w:tc>
        <w:tc>
          <w:tcPr>
            <w:tcW w:type="dxa" w:w="323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Vir ne obstaja znotraj Naročnika</w:t>
            </w:r>
          </w:p>
        </w:tc>
        <w:tc>
          <w:tcPr>
            <w:tcW w:type="dxa" w:w="328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Preverite lokalni GUID oziroma vrstni red priprave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40"/>
            </w:pPr>
            <w:r>
              <w:rPr>
                <w:sz w:val="18"/>
              </w:rPr>
              <w:t>409</w:t>
            </w:r>
          </w:p>
        </w:tc>
        <w:tc>
          <w:tcPr>
            <w:tcW w:type="dxa" w:w="3231"/>
            <w:vAlign w:val="center"/>
          </w:tcPr>
          <w:p>
            <w:pPr>
              <w:spacing w:after="40"/>
            </w:pPr>
            <w:r>
              <w:rPr>
                <w:sz w:val="18"/>
              </w:rPr>
              <w:t>Konflikt idempotence</w:t>
            </w:r>
          </w:p>
        </w:tc>
        <w:tc>
          <w:tcPr>
            <w:tcW w:type="dxa" w:w="3288"/>
            <w:vAlign w:val="center"/>
          </w:tcPr>
          <w:p>
            <w:pPr>
              <w:spacing w:after="40"/>
            </w:pPr>
            <w:r>
              <w:rPr>
                <w:sz w:val="18"/>
              </w:rPr>
              <w:t>Ne uporabljajte istega ključa za drugačen body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transport_timeout</w:t>
            </w:r>
          </w:p>
        </w:tc>
        <w:tc>
          <w:tcPr>
            <w:tcW w:type="dxa" w:w="323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Potekel varen čas prenosa</w:t>
            </w:r>
          </w:p>
        </w:tc>
        <w:tc>
          <w:tcPr>
            <w:tcW w:type="dxa" w:w="328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Sledite outcome; isti body in ključ samo pri RetryableFailure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40"/>
            </w:pPr>
            <w:r>
              <w:rPr>
                <w:sz w:val="18"/>
              </w:rPr>
              <w:t>transport_failure</w:t>
            </w:r>
          </w:p>
        </w:tc>
        <w:tc>
          <w:tcPr>
            <w:tcW w:type="dxa" w:w="3231"/>
            <w:vAlign w:val="center"/>
          </w:tcPr>
          <w:p>
            <w:pPr>
              <w:spacing w:after="40"/>
            </w:pPr>
            <w:r>
              <w:rPr>
                <w:sz w:val="18"/>
              </w:rPr>
              <w:t>TLS, omrežje ali protokol ni bil zaključen</w:t>
            </w:r>
          </w:p>
        </w:tc>
        <w:tc>
          <w:tcPr>
            <w:tcW w:type="dxa" w:w="3288"/>
            <w:vAlign w:val="center"/>
          </w:tcPr>
          <w:p>
            <w:pPr>
              <w:spacing w:after="40"/>
            </w:pPr>
            <w:r>
              <w:rPr>
                <w:sz w:val="18"/>
              </w:rPr>
              <w:t>Preverite Echo, certifikat in outcome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invalid_signature</w:t>
            </w:r>
          </w:p>
        </w:tc>
        <w:tc>
          <w:tcPr>
            <w:tcW w:type="dxa" w:w="3231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FURS ni sprejel podpisa</w:t>
            </w:r>
          </w:p>
        </w:tc>
        <w:tc>
          <w:tcPr>
            <w:tcW w:type="dxa" w:w="328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Preverite certifikat, kanonični payload in čas</w:t>
            </w:r>
          </w:p>
        </w:tc>
      </w:tr>
    </w:tbl>
    <w:p>
      <w:pPr>
        <w:spacing w:after="40"/>
      </w:pPr>
    </w:p>
    <w:p>
      <w:pPr>
        <w:pStyle w:val="Heading1"/>
      </w:pPr>
      <w:r>
        <w:t>15. Izbirno prometno beleženje</w:t>
      </w:r>
    </w:p>
    <w:p>
      <w:r>
        <w:t>Prometno beleženje je privzeto izključeno. Naročnik stanje preveri z GET /api/v1/tenant/traffic-logging in ga sam vključi ali izključi s PUT /api/v1/tenant/traffic-logging ter bodyjem {"logTraffic": true|false}. Za avtenticirane zahteve se nato shranijo metoda, URL, query, Naročnik, UTC čas, TEST ali Production okolje, status, trajanje ter očiščen request in response body.</w:t>
      </w:r>
    </w:p>
    <w:p>
      <w:pPr>
        <w:pStyle w:val="ListBullet"/>
      </w:pPr>
      <w:r>
        <w:t>API ključ, Authorization, tokeni, gesla, certifikati, SMTP skrivnosti in connection stringi se rekurzivno zamenjajo z oznako REDACTED.</w:t>
      </w:r>
    </w:p>
    <w:p>
      <w:pPr>
        <w:pStyle w:val="ListBullet"/>
      </w:pPr>
      <w:r>
        <w:t>qrPngBase64 se ne hrani in se zamenja z OMITTED_BINARY.</w:t>
      </w:r>
    </w:p>
    <w:p>
      <w:pPr>
        <w:pStyle w:val="ListBullet"/>
      </w:pPr>
      <w:r>
        <w:t>Očiščeni body se pred zapisom šifrira z ASP.NET Core Data Protection.</w:t>
      </w:r>
    </w:p>
    <w:p>
      <w:pPr>
        <w:pStyle w:val="ListBullet"/>
      </w:pPr>
      <w:r>
        <w:t>Največja velikost posameznega bodyja je 64 KiB. Prometni zapisi se hranijo največ 90 dni; konfiguriran je lahko krajši rok. Izklop takoj ustavi nastajanje novih zapisov, obstoječi pa ostanejo do izteka roka ali dovoljenega predčasnega izbrisa.</w:t>
      </w:r>
    </w:p>
    <w:p>
      <w:pPr>
        <w:pStyle w:val="ListBullet"/>
      </w:pPr>
      <w:r>
        <w:t>Napaka beleženja nikoli ne spremeni poslovnega API odgovora.</w:t>
      </w:r>
    </w:p>
    <w:p>
      <w:r>
        <w:t>Metapodatke in podrobnost lahko bere samo Administrator prek GET /api/AuditLogs in GET /api/AuditLogs/{id}. Obvezni poslovni zapisi, idempotentni poskusi in mesečna poraba niso prometni dnevniki in ostanejo neodvisni.</w:t>
      </w:r>
    </w:p>
    <w:p>
      <w:pPr>
        <w:pStyle w:val="Heading1"/>
      </w:pPr>
      <w:r>
        <w:t>16. Postman potek</w:t>
      </w:r>
    </w:p>
    <w:p>
      <w:r>
        <w:t>Uvozite samo docs/postman/FursFiscalization API v1.postman_collection.json. Stari zbirki sta odstranjeni.</w:t>
      </w:r>
    </w:p>
    <w:p>
      <w:pPr>
        <w:pStyle w:val="ListNumber"/>
      </w:pPr>
      <w:r>
        <w:t>Vpišite BaseUrl, BearerToken in TaxNumber.</w:t>
      </w:r>
    </w:p>
    <w:p>
      <w:pPr>
        <w:pStyle w:val="ListNumber"/>
      </w:pPr>
      <w:r>
        <w:t>Administrator ustvari Naročnika; testna skripta shrani TenantId in ApiKey.</w:t>
      </w:r>
    </w:p>
    <w:p>
      <w:pPr>
        <w:pStyle w:val="ListNumber"/>
      </w:pPr>
      <w:r>
        <w:t>Dodelite licenco in nato uporabite samopostrežni upload certifikata Naročnika.</w:t>
      </w:r>
    </w:p>
    <w:p>
      <w:pPr>
        <w:pStyle w:val="ListNumber"/>
      </w:pPr>
      <w:r>
        <w:t>Izvedite Echo, prijavo prostora, napravo, račun in poizvedbe.</w:t>
      </w:r>
    </w:p>
    <w:p>
      <w:pPr>
        <w:pStyle w:val="ListNumber"/>
      </w:pPr>
      <w:r>
        <w:t>Za retry nastavite IdempotencyKeyLocked na true, da ostaneta isti key in isti body.</w:t>
      </w:r>
    </w:p>
    <w:p>
      <w:pPr>
        <w:pStyle w:val="ListNumber"/>
      </w:pPr>
      <w:r>
        <w:t>Za nov logični zahtevek nastavite IdempotencyKeyLocked na false in uporabite novo invoiceNumber.</w:t>
      </w:r>
    </w:p>
    <w:p>
      <w:pPr>
        <w:pStyle w:val="ListNumber"/>
      </w:pPr>
      <w:r>
        <w:t>Zaprtje preizkusite samo na namenskem prostoru CLOSEME1.</w:t>
      </w:r>
    </w:p>
    <w:p>
      <w:r>
        <w:t>Postman spremenljivki P12Base64 in P12Password ali neposredni body morata vsebovati resnični testni vrednosti samo lokalno. V zbirki in Git ostaneta oznaki YOUR_CERT_BASE64 in YOUR_CERT_PASSWORD.</w:t>
      </w:r>
    </w:p>
    <w:p>
      <w:pPr>
        <w:pStyle w:val="Heading1"/>
      </w:pPr>
      <w:r>
        <w:t>17. Kontrolni seznam za prehod v produkcijo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67"/>
        <w:gridCol w:w="7937"/>
      </w:tblGrid>
      <w:tr>
        <w:trPr>
          <w:cantSplit/>
          <w:tblHeader w:val="true"/>
        </w:trPr>
        <w:tc>
          <w:tcPr>
            <w:tcW w:type="dxa" w:w="567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</w:r>
          </w:p>
        </w:tc>
        <w:tc>
          <w:tcPr>
            <w:tcW w:type="dxa" w:w="7937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Preverjanje</w:t>
            </w:r>
          </w:p>
        </w:tc>
      </w:tr>
      <w:tr>
        <w:trPr>
          <w:cantSplit/>
        </w:trPr>
        <w:tc>
          <w:tcPr>
            <w:tcW w:type="dxa" w:w="567"/>
            <w:vAlign w:val="center"/>
          </w:tcPr>
          <w:p>
            <w:pPr>
              <w:spacing w:after="40"/>
            </w:pPr>
            <w:r>
              <w:rPr>
                <w:sz w:val="18"/>
              </w:rPr>
              <w:t>[ ]</w:t>
            </w:r>
          </w:p>
        </w:tc>
        <w:tc>
          <w:tcPr>
            <w:tcW w:type="dxa" w:w="7937"/>
            <w:vAlign w:val="center"/>
          </w:tcPr>
          <w:p>
            <w:pPr>
              <w:spacing w:after="40"/>
            </w:pPr>
            <w:r>
              <w:rPr>
                <w:sz w:val="18"/>
              </w:rPr>
              <w:t>Pravilni produkcijski Naročnik in aktivna licenca</w:t>
            </w:r>
          </w:p>
        </w:tc>
      </w:tr>
      <w:tr>
        <w:trPr>
          <w:cantSplit/>
        </w:trPr>
        <w:tc>
          <w:tcPr>
            <w:tcW w:type="dxa" w:w="56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[ ]</w:t>
            </w:r>
          </w:p>
        </w:tc>
        <w:tc>
          <w:tcPr>
            <w:tcW w:type="dxa" w:w="793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Naložen in časovno veljaven produkcijski certifikat z zasebnim ključem</w:t>
            </w:r>
          </w:p>
        </w:tc>
      </w:tr>
      <w:tr>
        <w:trPr>
          <w:cantSplit/>
        </w:trPr>
        <w:tc>
          <w:tcPr>
            <w:tcW w:type="dxa" w:w="567"/>
            <w:vAlign w:val="center"/>
          </w:tcPr>
          <w:p>
            <w:pPr>
              <w:spacing w:after="40"/>
            </w:pPr>
            <w:r>
              <w:rPr>
                <w:sz w:val="18"/>
              </w:rPr>
              <w:t>[ ]</w:t>
            </w:r>
          </w:p>
        </w:tc>
        <w:tc>
          <w:tcPr>
            <w:tcW w:type="dxa" w:w="7937"/>
            <w:vAlign w:val="center"/>
          </w:tcPr>
          <w:p>
            <w:pPr>
              <w:spacing w:after="40"/>
            </w:pPr>
            <w:r>
              <w:rPr>
                <w:sz w:val="18"/>
              </w:rPr>
              <w:t>Produkcijski poslovni prostori prijavljeni in odprti</w:t>
            </w:r>
          </w:p>
        </w:tc>
      </w:tr>
      <w:tr>
        <w:trPr>
          <w:cantSplit/>
        </w:trPr>
        <w:tc>
          <w:tcPr>
            <w:tcW w:type="dxa" w:w="56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[ ]</w:t>
            </w:r>
          </w:p>
        </w:tc>
        <w:tc>
          <w:tcPr>
            <w:tcW w:type="dxa" w:w="793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Elektronske naprave aktivne in oznake usklajene s številčenjem</w:t>
            </w:r>
          </w:p>
        </w:tc>
      </w:tr>
      <w:tr>
        <w:trPr>
          <w:cantSplit/>
        </w:trPr>
        <w:tc>
          <w:tcPr>
            <w:tcW w:type="dxa" w:w="567"/>
            <w:vAlign w:val="center"/>
          </w:tcPr>
          <w:p>
            <w:pPr>
              <w:spacing w:after="40"/>
            </w:pPr>
            <w:r>
              <w:rPr>
                <w:sz w:val="18"/>
              </w:rPr>
              <w:t>[ ]</w:t>
            </w:r>
          </w:p>
        </w:tc>
        <w:tc>
          <w:tcPr>
            <w:tcW w:type="dxa" w:w="7937"/>
            <w:vAlign w:val="center"/>
          </w:tcPr>
          <w:p>
            <w:pPr>
              <w:spacing w:after="40"/>
            </w:pPr>
            <w:r>
              <w:rPr>
                <w:sz w:val="18"/>
              </w:rPr>
              <w:t>Vsaka invoiceNumber pozitivna, številčna in enolična v izbrani strukturi</w:t>
            </w:r>
          </w:p>
        </w:tc>
      </w:tr>
      <w:tr>
        <w:trPr>
          <w:cantSplit/>
        </w:trPr>
        <w:tc>
          <w:tcPr>
            <w:tcW w:type="dxa" w:w="56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[ ]</w:t>
            </w:r>
          </w:p>
        </w:tc>
        <w:tc>
          <w:tcPr>
            <w:tcW w:type="dxa" w:w="793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Ura gostitelja sinhronizirana; UTC hramba in Europe/Ljubljana pretvorba preverjeni</w:t>
            </w:r>
          </w:p>
        </w:tc>
      </w:tr>
      <w:tr>
        <w:trPr>
          <w:cantSplit/>
        </w:trPr>
        <w:tc>
          <w:tcPr>
            <w:tcW w:type="dxa" w:w="567"/>
            <w:vAlign w:val="center"/>
          </w:tcPr>
          <w:p>
            <w:pPr>
              <w:spacing w:after="40"/>
            </w:pPr>
            <w:r>
              <w:rPr>
                <w:sz w:val="18"/>
              </w:rPr>
              <w:t>[ ]</w:t>
            </w:r>
          </w:p>
        </w:tc>
        <w:tc>
          <w:tcPr>
            <w:tcW w:type="dxa" w:w="7937"/>
            <w:vAlign w:val="center"/>
          </w:tcPr>
          <w:p>
            <w:pPr>
              <w:spacing w:after="40"/>
            </w:pPr>
            <w:r>
              <w:rPr>
                <w:sz w:val="18"/>
              </w:rPr>
              <w:t>EOR, ZOI, QR payload, messageId, outcome in napake trajno obdelani</w:t>
            </w:r>
          </w:p>
        </w:tc>
      </w:tr>
      <w:tr>
        <w:trPr>
          <w:cantSplit/>
        </w:trPr>
        <w:tc>
          <w:tcPr>
            <w:tcW w:type="dxa" w:w="56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[ ]</w:t>
            </w:r>
          </w:p>
        </w:tc>
        <w:tc>
          <w:tcPr>
            <w:tcW w:type="dxa" w:w="793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Retry politika razlikuje RetryableFailure od Unknown</w:t>
            </w:r>
          </w:p>
        </w:tc>
      </w:tr>
      <w:tr>
        <w:trPr>
          <w:cantSplit/>
        </w:trPr>
        <w:tc>
          <w:tcPr>
            <w:tcW w:type="dxa" w:w="567"/>
            <w:vAlign w:val="center"/>
          </w:tcPr>
          <w:p>
            <w:pPr>
              <w:spacing w:after="40"/>
            </w:pPr>
            <w:r>
              <w:rPr>
                <w:sz w:val="18"/>
              </w:rPr>
              <w:t>[ ]</w:t>
            </w:r>
          </w:p>
        </w:tc>
        <w:tc>
          <w:tcPr>
            <w:tcW w:type="dxa" w:w="7937"/>
            <w:vAlign w:val="center"/>
          </w:tcPr>
          <w:p>
            <w:pPr>
              <w:spacing w:after="40"/>
            </w:pPr>
            <w:r>
              <w:rPr>
                <w:sz w:val="18"/>
              </w:rPr>
              <w:t>API ključ je v upravljanem skladišču skrivnosti in ni v appsettings ali logih</w:t>
            </w:r>
          </w:p>
        </w:tc>
      </w:tr>
      <w:tr>
        <w:trPr>
          <w:cantSplit/>
        </w:trPr>
        <w:tc>
          <w:tcPr>
            <w:tcW w:type="dxa" w:w="56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[ ]</w:t>
            </w:r>
          </w:p>
        </w:tc>
        <w:tc>
          <w:tcPr>
            <w:tcW w:type="dxa" w:w="793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Odgovorna oseba je potrdila davčno in poslovno pravilnost vzorčnih računov</w:t>
            </w:r>
          </w:p>
        </w:tc>
      </w:tr>
    </w:tbl>
    <w:p>
      <w:pPr>
        <w:spacing w:after="40"/>
      </w:pPr>
    </w:p>
    <w:p>
      <w:pPr>
        <w:pStyle w:val="Heading1"/>
      </w:pPr>
      <w:r>
        <w:t>18. Aktualne API poti v1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68"/>
        <w:gridCol w:w="6236"/>
      </w:tblGrid>
      <w:tr>
        <w:trPr>
          <w:cantSplit/>
          <w:tblHeader w:val="true"/>
        </w:trPr>
        <w:tc>
          <w:tcPr>
            <w:tcW w:type="dxa" w:w="2268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Skupina</w:t>
            </w:r>
          </w:p>
        </w:tc>
        <w:tc>
          <w:tcPr>
            <w:tcW w:type="dxa" w:w="6236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Poti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40"/>
            </w:pPr>
            <w:r>
              <w:rPr>
                <w:sz w:val="18"/>
              </w:rPr>
              <w:t>Javno</w:t>
            </w:r>
          </w:p>
        </w:tc>
        <w:tc>
          <w:tcPr>
            <w:tcW w:type="dxa" w:w="6236"/>
            <w:vAlign w:val="center"/>
          </w:tcPr>
          <w:p>
            <w:pPr>
              <w:spacing w:after="40"/>
            </w:pPr>
            <w:r>
              <w:rPr>
                <w:sz w:val="18"/>
              </w:rPr>
              <w:t>/api/v1/public/commercial; /api/v1/public/orders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Admin Naročniki</w:t>
            </w:r>
          </w:p>
        </w:tc>
        <w:tc>
          <w:tcPr>
            <w:tcW w:type="dxa" w:w="6236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/api/Tenants; /api/Tenants/{id}; /api-key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40"/>
            </w:pPr>
            <w:r>
              <w:rPr>
                <w:sz w:val="18"/>
              </w:rPr>
              <w:t>Admin licence</w:t>
            </w:r>
          </w:p>
        </w:tc>
        <w:tc>
          <w:tcPr>
            <w:tcW w:type="dxa" w:w="6236"/>
            <w:vAlign w:val="center"/>
          </w:tcPr>
          <w:p>
            <w:pPr>
              <w:spacing w:after="40"/>
            </w:pPr>
            <w:r>
              <w:rPr>
                <w:sz w:val="18"/>
              </w:rPr>
              <w:t>/api/Tenants/{id}/licenses; /usage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Certifikati Naročnika</w:t>
            </w:r>
          </w:p>
        </w:tc>
        <w:tc>
          <w:tcPr>
            <w:tcW w:type="dxa" w:w="6236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/api/v1/tenant/certificates; /{certificateId}; /traffic-logging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40"/>
            </w:pPr>
            <w:r>
              <w:rPr>
                <w:sz w:val="18"/>
              </w:rPr>
              <w:t>Diagnostika</w:t>
            </w:r>
          </w:p>
        </w:tc>
        <w:tc>
          <w:tcPr>
            <w:tcW w:type="dxa" w:w="6236"/>
            <w:vAlign w:val="center"/>
          </w:tcPr>
          <w:p>
            <w:pPr>
              <w:spacing w:after="40"/>
            </w:pPr>
            <w:r>
              <w:rPr>
                <w:sz w:val="18"/>
              </w:rPr>
              <w:t>/api/v1/fiscalization/echo; /health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Prostori</w:t>
            </w:r>
          </w:p>
        </w:tc>
        <w:tc>
          <w:tcPr>
            <w:tcW w:type="dxa" w:w="6236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/business-premises; /closures; /business-premise-batches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40"/>
            </w:pPr>
            <w:r>
              <w:rPr>
                <w:sz w:val="18"/>
              </w:rPr>
              <w:t>Naprave</w:t>
            </w:r>
          </w:p>
        </w:tc>
        <w:tc>
          <w:tcPr>
            <w:tcW w:type="dxa" w:w="6236"/>
            <w:vAlign w:val="center"/>
          </w:tcPr>
          <w:p>
            <w:pPr>
              <w:spacing w:after="40"/>
            </w:pPr>
            <w:r>
              <w:rPr>
                <w:sz w:val="18"/>
              </w:rPr>
              <w:t>/electronic-devices; /electronic-devices/{id}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Računi</w:t>
            </w:r>
          </w:p>
        </w:tc>
        <w:tc>
          <w:tcPr>
            <w:tcW w:type="dxa" w:w="6236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/invoices; /cancellations; /sales-book-invoices; /invoice-batches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40"/>
            </w:pPr>
            <w:r>
              <w:rPr>
                <w:sz w:val="18"/>
              </w:rPr>
              <w:t>Admin dnevniki</w:t>
            </w:r>
          </w:p>
        </w:tc>
        <w:tc>
          <w:tcPr>
            <w:tcW w:type="dxa" w:w="6236"/>
            <w:vAlign w:val="center"/>
          </w:tcPr>
          <w:p>
            <w:pPr>
              <w:spacing w:after="40"/>
            </w:pPr>
            <w:r>
              <w:rPr>
                <w:sz w:val="18"/>
              </w:rPr>
              <w:t>/api/AuditLogs; /api/AuditLogs/{id}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Swagger</w:t>
            </w:r>
          </w:p>
        </w:tc>
        <w:tc>
          <w:tcPr>
            <w:tcW w:type="dxa" w:w="6236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/api; /api/specification/v1.json (English only)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19. Interaktivna API dokumentacija</w:t>
      </w:r>
    </w:p>
    <w:p>
      <w:r>
        <w:t>Tehnična dokumentacija endpointov je vedno v angleščini. Slovenski ali angleški je samo uvodni del javne strani. Swagger in podrobna HTML dokumentacija sta ustvarjena iz istega OpenAPI v1 dokumenta, zato imata enake poti, DTO-je, primere in odzive.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87"/>
        <w:gridCol w:w="2835"/>
        <w:gridCol w:w="4082"/>
      </w:tblGrid>
      <w:tr>
        <w:trPr>
          <w:cantSplit/>
          <w:tblHeader w:val="true"/>
        </w:trPr>
        <w:tc>
          <w:tcPr>
            <w:tcW w:type="dxa" w:w="1587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Naslov</w:t>
            </w:r>
          </w:p>
        </w:tc>
        <w:tc>
          <w:tcPr>
            <w:tcW w:type="dxa" w:w="2835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Namen</w:t>
            </w:r>
          </w:p>
        </w:tc>
        <w:tc>
          <w:tcPr>
            <w:tcW w:type="dxa" w:w="4082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Kaj je prikazano</w:t>
            </w:r>
          </w:p>
        </w:tc>
      </w:tr>
      <w:tr>
        <w:trPr>
          <w:cantSplit/>
        </w:trPr>
        <w:tc>
          <w:tcPr>
            <w:tcW w:type="dxa" w:w="1587"/>
            <w:vAlign w:val="center"/>
          </w:tcPr>
          <w:p>
            <w:pPr>
              <w:spacing w:after="40"/>
            </w:pPr>
            <w:r>
              <w:rPr>
                <w:sz w:val="18"/>
              </w:rPr>
              <w:t>/api</w:t>
            </w:r>
          </w:p>
        </w:tc>
        <w:tc>
          <w:tcPr>
            <w:tcW w:type="dxa" w:w="2835"/>
            <w:vAlign w:val="center"/>
          </w:tcPr>
          <w:p>
            <w:pPr>
              <w:spacing w:after="40"/>
            </w:pPr>
            <w:r>
              <w:rPr>
                <w:sz w:val="18"/>
              </w:rPr>
              <w:t>Interaktivni Swagger</w:t>
            </w:r>
          </w:p>
        </w:tc>
        <w:tc>
          <w:tcPr>
            <w:tcW w:type="dxa" w:w="4082"/>
            <w:vAlign w:val="center"/>
          </w:tcPr>
          <w:p>
            <w:pPr>
              <w:spacing w:after="40"/>
            </w:pPr>
            <w:r>
              <w:rPr>
                <w:sz w:val="18"/>
              </w:rPr>
              <w:t>Authorize, sheme, Try it out ter razširjeni opisi vseh endpointov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/api-dokumentacija</w:t>
            </w:r>
          </w:p>
        </w:tc>
        <w:tc>
          <w:tcPr>
            <w:tcW w:type="dxa" w:w="2835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Celotna API referenca</w:t>
            </w:r>
          </w:p>
        </w:tc>
        <w:tc>
          <w:tcPr>
            <w:tcW w:type="dxa" w:w="4082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Leva navigacija po skupinah in podrobnosti izbranega endpointa na desni</w:t>
            </w:r>
          </w:p>
        </w:tc>
      </w:tr>
      <w:tr>
        <w:trPr>
          <w:cantSplit/>
        </w:trPr>
        <w:tc>
          <w:tcPr>
            <w:tcW w:type="dxa" w:w="1587"/>
            <w:vAlign w:val="center"/>
          </w:tcPr>
          <w:p>
            <w:pPr>
              <w:spacing w:after="40"/>
            </w:pPr>
            <w:r>
              <w:rPr>
                <w:sz w:val="18"/>
              </w:rPr>
              <w:t>/api/specification/v1.json</w:t>
            </w:r>
          </w:p>
        </w:tc>
        <w:tc>
          <w:tcPr>
            <w:tcW w:type="dxa" w:w="2835"/>
            <w:vAlign w:val="center"/>
          </w:tcPr>
          <w:p>
            <w:pPr>
              <w:spacing w:after="40"/>
            </w:pPr>
            <w:r>
              <w:rPr>
                <w:sz w:val="18"/>
              </w:rPr>
              <w:t>OpenAPI v1</w:t>
            </w:r>
          </w:p>
        </w:tc>
        <w:tc>
          <w:tcPr>
            <w:tcW w:type="dxa" w:w="4082"/>
            <w:vAlign w:val="center"/>
          </w:tcPr>
          <w:p>
            <w:pPr>
              <w:spacing w:after="40"/>
            </w:pPr>
            <w:r>
              <w:rPr>
                <w:sz w:val="18"/>
              </w:rPr>
              <w:t>Strojno berljiva pogodba za generatorje odjemalcev in avtomatske teste</w:t>
            </w:r>
          </w:p>
        </w:tc>
      </w:tr>
    </w:tbl>
    <w:p>
      <w:pPr>
        <w:pStyle w:val="Heading2"/>
      </w:pPr>
      <w:r>
        <w:t>Kaj vsebuje vsak endpoint</w:t>
      </w:r>
    </w:p>
    <w:p>
      <w:pPr>
        <w:pStyle w:val="ListBullet"/>
      </w:pPr>
      <w:r>
        <w:t>Purpose – poslovni in tehnični namen operacije.</w:t>
      </w:r>
    </w:p>
    <w:p>
      <w:pPr>
        <w:pStyle w:val="ListBullet"/>
      </w:pPr>
      <w:r>
        <w:t>How to use – pravilen vrstni red, idempotenca in nadaljnji korak odjemalca.</w:t>
      </w:r>
    </w:p>
    <w:p>
      <w:pPr>
        <w:pStyle w:val="ListBullet"/>
      </w:pPr>
      <w:r>
        <w:t>Authorization – Bearer JWT za administratorske klice ali X-Tenant-Id in X-Api-Key za klice Naročnika.</w:t>
      </w:r>
    </w:p>
    <w:p>
      <w:pPr>
        <w:pStyle w:val="ListBullet"/>
      </w:pPr>
      <w:r>
        <w:t>Request – HTTP primer, parametri, headerji, vsa polja DTO-ja in celoten UTF-8 JSON primer.</w:t>
      </w:r>
    </w:p>
    <w:p>
      <w:pPr>
        <w:pStyle w:val="ListBullet"/>
      </w:pPr>
      <w:r>
        <w:t>Successful responses – status, pomen in celoten primer telesa odgovora.</w:t>
      </w:r>
    </w:p>
    <w:p>
      <w:pPr>
        <w:pStyle w:val="ListBullet"/>
      </w:pPr>
      <w:r>
        <w:t>Error responses – 400, 401, 403, 404, 409, 429, 500 oziroma 503, kadar so za endpoint možni, s Problem Details primerom in navodilom za ukrepanje.</w:t>
      </w:r>
    </w:p>
    <w:p>
      <w:pPr>
        <w:pStyle w:val="Heading2"/>
      </w:pPr>
      <w:r>
        <w:t>Praktičen potek v Swaggerju</w:t>
      </w:r>
    </w:p>
    <w:p>
      <w:pPr>
        <w:spacing w:after="140"/>
        <w:ind w:left="432" w:hanging="432"/>
      </w:pPr>
      <w:r>
        <w:t>1.  Odprite /api v novem zavihku in kliknite Authorize.</w:t>
      </w:r>
    </w:p>
    <w:p>
      <w:pPr>
        <w:spacing w:after="140"/>
        <w:ind w:left="432" w:hanging="432"/>
      </w:pPr>
      <w:r>
        <w:t>2.  Za administratorske klice vnesite Bearer JWT. Za fiskalizacijo uporabite X-Tenant-Id in X-Api-Key Naročnika; Idempotency-Key je ločen UUID posameznega logičnega zapisa.</w:t>
      </w:r>
    </w:p>
    <w:p>
      <w:pPr>
        <w:spacing w:after="140"/>
        <w:ind w:left="432" w:hanging="432"/>
      </w:pPr>
      <w:r>
        <w:t>3.  Odprite skupino, na primer Fiscalization, ter izberite endpoint. Najprej preberite Purpose, How to use in Authorization.</w:t>
      </w:r>
    </w:p>
    <w:p>
      <w:pPr>
        <w:spacing w:after="140"/>
        <w:ind w:left="432" w:hanging="432"/>
      </w:pPr>
      <w:r>
        <w:t>4.  Kopirajte prikazani request primer, zamenjajte samo dokumentacijske oznake in poslovne vrednosti ter ohranite Content-Type application/json; charset=utf-8.</w:t>
      </w:r>
    </w:p>
    <w:p>
      <w:pPr>
        <w:spacing w:after="140"/>
        <w:ind w:left="432" w:hanging="432"/>
      </w:pPr>
      <w:r>
        <w:t>5.  Try it out najprej uporabljajte samo z environment=Test in TEST certifikatom. Produkcije ne preizkušajte brez potrjenega kontrolnega seznama.</w:t>
      </w:r>
    </w:p>
    <w:p>
      <w:pPr>
        <w:spacing w:after="140"/>
        <w:ind w:left="432" w:hanging="432"/>
      </w:pPr>
      <w:r>
        <w:t>6.  Po klicu preverite HTTP status in telo. Pri FURS odgovorih HTTP 200 ni dovolj: success mora biti true in outcome Accepted.</w:t>
      </w:r>
    </w:p>
    <w:p>
      <w:pPr>
        <w:pStyle w:val="Heading2"/>
        <w:pageBreakBefore/>
      </w:pPr>
      <w:r>
        <w:t>Odločanje po rezultatu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87"/>
        <w:gridCol w:w="2835"/>
        <w:gridCol w:w="4082"/>
      </w:tblGrid>
      <w:tr>
        <w:trPr>
          <w:cantSplit/>
          <w:tblHeader w:val="true"/>
        </w:trPr>
        <w:tc>
          <w:tcPr>
            <w:tcW w:type="dxa" w:w="1587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Rezultat</w:t>
            </w:r>
          </w:p>
        </w:tc>
        <w:tc>
          <w:tcPr>
            <w:tcW w:type="dxa" w:w="2835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Pomen</w:t>
            </w:r>
          </w:p>
        </w:tc>
        <w:tc>
          <w:tcPr>
            <w:tcW w:type="dxa" w:w="4082"/>
            <w:shd w:fill="0B477F"/>
            <w:vAlign w:val="center"/>
          </w:tcPr>
          <w:p>
            <w:r>
              <w:rPr>
                <w:b/>
                <w:color w:val="FFFFFF"/>
                <w:sz w:val="18"/>
              </w:rPr>
              <w:t>Ukrep</w:t>
            </w:r>
          </w:p>
        </w:tc>
      </w:tr>
      <w:tr>
        <w:trPr>
          <w:cantSplit/>
        </w:trPr>
        <w:tc>
          <w:tcPr>
            <w:tcW w:type="dxa" w:w="1587"/>
            <w:vAlign w:val="center"/>
          </w:tcPr>
          <w:p>
            <w:pPr>
              <w:spacing w:after="40"/>
            </w:pPr>
            <w:r>
              <w:rPr>
                <w:sz w:val="18"/>
              </w:rPr>
              <w:t>HTTP 2xx + uspešen poslovni izid</w:t>
            </w:r>
          </w:p>
        </w:tc>
        <w:tc>
          <w:tcPr>
            <w:tcW w:type="dxa" w:w="2835"/>
            <w:vAlign w:val="center"/>
          </w:tcPr>
          <w:p>
            <w:pPr>
              <w:spacing w:after="40"/>
            </w:pPr>
            <w:r>
              <w:rPr>
                <w:sz w:val="18"/>
              </w:rPr>
              <w:t>API je zahtevek uspešno obdelal</w:t>
            </w:r>
          </w:p>
        </w:tc>
        <w:tc>
          <w:tcPr>
            <w:tcW w:type="dxa" w:w="4082"/>
            <w:vAlign w:val="center"/>
          </w:tcPr>
          <w:p>
            <w:pPr>
              <w:spacing w:after="40"/>
            </w:pPr>
            <w:r>
              <w:rPr>
                <w:sz w:val="18"/>
              </w:rPr>
              <w:t>Shranite celoten odgovor in ne ponavljajte operacije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HTTP 200 + success=false</w:t>
            </w:r>
          </w:p>
        </w:tc>
        <w:tc>
          <w:tcPr>
            <w:tcW w:type="dxa" w:w="2835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FURS izid ni sprejet ali ni zanesljivo znan</w:t>
            </w:r>
          </w:p>
        </w:tc>
        <w:tc>
          <w:tcPr>
            <w:tcW w:type="dxa" w:w="4082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Preverite outcome, errorCode in pravilo idempotence</w:t>
            </w:r>
          </w:p>
        </w:tc>
      </w:tr>
      <w:tr>
        <w:trPr>
          <w:cantSplit/>
        </w:trPr>
        <w:tc>
          <w:tcPr>
            <w:tcW w:type="dxa" w:w="1587"/>
            <w:vAlign w:val="center"/>
          </w:tcPr>
          <w:p>
            <w:pPr>
              <w:spacing w:after="40"/>
            </w:pPr>
            <w:r>
              <w:rPr>
                <w:sz w:val="18"/>
              </w:rPr>
              <w:t>HTTP 400/401/403/404/409</w:t>
            </w:r>
          </w:p>
        </w:tc>
        <w:tc>
          <w:tcPr>
            <w:tcW w:type="dxa" w:w="2835"/>
            <w:vAlign w:val="center"/>
          </w:tcPr>
          <w:p>
            <w:pPr>
              <w:spacing w:after="40"/>
            </w:pPr>
            <w:r>
              <w:rPr>
                <w:sz w:val="18"/>
              </w:rPr>
              <w:t>Napaka zahteve, dostopa ali konflikta</w:t>
            </w:r>
          </w:p>
        </w:tc>
        <w:tc>
          <w:tcPr>
            <w:tcW w:type="dxa" w:w="4082"/>
            <w:vAlign w:val="center"/>
          </w:tcPr>
          <w:p>
            <w:pPr>
              <w:spacing w:after="40"/>
            </w:pPr>
            <w:r>
              <w:rPr>
                <w:sz w:val="18"/>
              </w:rPr>
              <w:t>Popravite vzrok; nespremenjenega zavrnjenega zahtevka ne ponavljajte na slepo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HTTP 429/500/503</w:t>
            </w:r>
          </w:p>
        </w:tc>
        <w:tc>
          <w:tcPr>
            <w:tcW w:type="dxa" w:w="2835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Omejitev ali začasna tehnična težava</w:t>
            </w:r>
          </w:p>
        </w:tc>
        <w:tc>
          <w:tcPr>
            <w:tcW w:type="dxa" w:w="4082"/>
            <w:vAlign w:val="center"/>
            <w:shd w:fill="F2F7FC"/>
          </w:tcPr>
          <w:p>
            <w:pPr>
              <w:spacing w:after="40"/>
            </w:pPr>
            <w:r>
              <w:rPr>
                <w:sz w:val="18"/>
              </w:rPr>
              <w:t>Upoštevajte dokumentirani odziv in isti ključ uporabite samo za identično negotovo ponovitev</w:t>
            </w:r>
          </w:p>
        </w:tc>
      </w:tr>
    </w:tbl>
    <w:p>
      <w:r>
        <w:rPr>
          <w:b/>
        </w:rPr>
        <w:t>Vsi primeri namenoma uporabljajo oznake YOUR_TENANT_ID, YOUR_API_KEY, YOUR_CERT_BASE64 in YOUR_CERT_PASSWORD. Resničnih skrivnosti ne kopirajte v dokumentacijo, posnetke zaslona, Git ali podporna sporočila.</w:t>
      </w:r>
    </w:p>
    <w:p>
      <w:pPr>
        <w:pStyle w:val="Heading1"/>
      </w:pPr>
      <w:r>
        <w:t>20. Podpora</w:t>
      </w:r>
    </w:p>
    <w:p>
      <w:r>
        <w:t>Podpora: hello@kvadrati.com. Dodajte okolje, endpoint, UTC čas, messageId, outcome in varen izsek napake. Nikoli ne pošiljajte API ključa, Base64 certifikata, gesla, JWT ali connection stringa.</w:t>
      </w:r>
    </w:p>
    <w:p>
      <w:r>
        <w:t>Uradna tehnična dokumentacija FURS ima prednost pri davčnih in protokolarnih pravilih. Ta vodič opisuje uporabo implementiranega FURS Kvadrati API v1.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76" w:bottom="107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FURS Kvadrati API v1   •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000000"/>
      </w:rPr>
      <w:t>FURS KVADRATI API V1  /  TESTNI VODIČ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1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4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320" w:after="140"/>
    </w:pPr>
    <w:rPr>
      <w:rFonts w:asciiTheme="majorHAnsi" w:eastAsiaTheme="majorEastAsia" w:hAnsiTheme="majorHAnsi" w:cstheme="majorBidi" w:ascii="Aptos Display" w:hAnsi="Aptos Display"/>
      <w:b w:val="0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Testiranje FURS Kvadrati API v1 s FURS v3.2</dc:title>
  <dc:subject>TEST in produkcijski postopek, primeri, varnost, UTC in samopostrežno prometno beleženje</dc:subject>
  <dc:creator>Kvadrati, Aleksandar Hajduković s.p.</dc:creator>
  <cp:keywords>FURS, fiskalizacija, API v1, TEST, Slovenija</cp:keywords>
  <dc:description>generated by python-docx</dc:description>
  <cp:lastModifiedBy/>
  <cp:revision>1</cp:revision>
  <dcterms:created xsi:type="dcterms:W3CDTF">2013-12-23T23:15:00Z</dcterms:created>
  <dcterms:modified xsi:type="dcterms:W3CDTF">2026-09-11T12:00:00Z</dcterms:modified>
  <cp:category/>
</cp:coreProperties>
</file>